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9B00B">
      <w:pPr>
        <w:tabs>
          <w:tab w:val="left" w:pos="540"/>
          <w:tab w:val="left" w:pos="900"/>
        </w:tabs>
        <w:spacing w:line="360" w:lineRule="auto"/>
        <w:jc w:val="center"/>
        <w:rPr>
          <w:rFonts w:ascii="宋体" w:hAnsi="宋体"/>
          <w:b/>
          <w:color w:val="auto"/>
          <w:szCs w:val="21"/>
          <w:highlight w:val="none"/>
        </w:rPr>
      </w:pPr>
      <w:r>
        <w:rPr>
          <w:rFonts w:hint="eastAsia" w:ascii="宋体" w:hAnsi="宋体"/>
          <w:b/>
          <w:color w:val="auto"/>
          <w:szCs w:val="21"/>
          <w:highlight w:val="none"/>
        </w:rPr>
        <w:t>关于落实202</w:t>
      </w:r>
      <w:r>
        <w:rPr>
          <w:rFonts w:hint="eastAsia" w:ascii="宋体" w:hAnsi="宋体"/>
          <w:b/>
          <w:color w:val="auto"/>
          <w:szCs w:val="21"/>
          <w:highlight w:val="none"/>
          <w:lang w:val="en-US" w:eastAsia="zh-CN"/>
        </w:rPr>
        <w:t>6</w:t>
      </w:r>
      <w:r>
        <w:rPr>
          <w:rFonts w:hint="eastAsia" w:ascii="宋体" w:hAnsi="宋体"/>
          <w:b/>
          <w:color w:val="auto"/>
          <w:szCs w:val="21"/>
          <w:highlight w:val="none"/>
        </w:rPr>
        <w:t>-202</w:t>
      </w:r>
      <w:r>
        <w:rPr>
          <w:rFonts w:hint="eastAsia" w:ascii="宋体" w:hAnsi="宋体"/>
          <w:b/>
          <w:color w:val="auto"/>
          <w:szCs w:val="21"/>
          <w:highlight w:val="none"/>
          <w:lang w:val="en-US" w:eastAsia="zh-CN"/>
        </w:rPr>
        <w:t>7</w:t>
      </w:r>
      <w:r>
        <w:rPr>
          <w:rFonts w:hint="eastAsia" w:ascii="宋体" w:hAnsi="宋体"/>
          <w:b/>
          <w:color w:val="auto"/>
          <w:szCs w:val="21"/>
          <w:highlight w:val="none"/>
        </w:rPr>
        <w:t>学年第</w:t>
      </w:r>
      <w:r>
        <w:rPr>
          <w:rFonts w:hint="eastAsia" w:ascii="宋体" w:hAnsi="宋体"/>
          <w:b/>
          <w:color w:val="auto"/>
          <w:szCs w:val="21"/>
          <w:highlight w:val="none"/>
          <w:lang w:val="en-US" w:eastAsia="zh-CN"/>
        </w:rPr>
        <w:t>一</w:t>
      </w:r>
      <w:r>
        <w:rPr>
          <w:rFonts w:hint="eastAsia" w:ascii="宋体" w:hAnsi="宋体"/>
          <w:b/>
          <w:color w:val="auto"/>
          <w:szCs w:val="21"/>
          <w:highlight w:val="none"/>
        </w:rPr>
        <w:t>学期本科教学任务的通知</w:t>
      </w:r>
    </w:p>
    <w:p w14:paraId="7CF95E7A">
      <w:pPr>
        <w:tabs>
          <w:tab w:val="left" w:pos="-540"/>
          <w:tab w:val="left" w:pos="0"/>
          <w:tab w:val="left" w:pos="180"/>
          <w:tab w:val="left" w:pos="900"/>
        </w:tabs>
        <w:spacing w:line="360" w:lineRule="auto"/>
        <w:rPr>
          <w:rFonts w:ascii="宋体" w:hAnsi="宋体"/>
          <w:color w:val="auto"/>
          <w:szCs w:val="21"/>
          <w:highlight w:val="none"/>
        </w:rPr>
      </w:pPr>
      <w:r>
        <w:rPr>
          <w:rFonts w:hint="eastAsia" w:ascii="宋体" w:hAnsi="宋体"/>
          <w:color w:val="auto"/>
          <w:szCs w:val="21"/>
          <w:highlight w:val="none"/>
        </w:rPr>
        <w:t>各学院（部、室）：</w:t>
      </w:r>
    </w:p>
    <w:p w14:paraId="6C8B40E4">
      <w:pPr>
        <w:tabs>
          <w:tab w:val="left" w:pos="-540"/>
          <w:tab w:val="left" w:pos="0"/>
          <w:tab w:val="left" w:pos="180"/>
          <w:tab w:val="left" w:pos="900"/>
        </w:tabs>
        <w:spacing w:line="360" w:lineRule="auto"/>
        <w:ind w:firstLine="420"/>
        <w:rPr>
          <w:rFonts w:ascii="宋体" w:hAnsi="宋体"/>
          <w:color w:val="auto"/>
          <w:szCs w:val="21"/>
          <w:highlight w:val="none"/>
        </w:rPr>
      </w:pPr>
      <w:r>
        <w:rPr>
          <w:rFonts w:hint="eastAsia" w:ascii="宋体" w:hAnsi="宋体"/>
          <w:color w:val="auto"/>
          <w:szCs w:val="21"/>
          <w:highlight w:val="none"/>
        </w:rPr>
        <w:t>根据各专业教学执行计划，202</w:t>
      </w:r>
      <w:r>
        <w:rPr>
          <w:rFonts w:hint="eastAsia" w:ascii="宋体" w:hAnsi="宋体"/>
          <w:color w:val="auto"/>
          <w:szCs w:val="21"/>
          <w:highlight w:val="none"/>
          <w:lang w:val="en-US" w:eastAsia="zh-CN"/>
        </w:rPr>
        <w:t>6</w:t>
      </w:r>
      <w:r>
        <w:rPr>
          <w:rFonts w:hint="eastAsia" w:ascii="宋体" w:hAnsi="宋体"/>
          <w:color w:val="auto"/>
          <w:szCs w:val="21"/>
          <w:highlight w:val="none"/>
        </w:rPr>
        <w:t>-202</w:t>
      </w:r>
      <w:r>
        <w:rPr>
          <w:rFonts w:hint="eastAsia" w:ascii="宋体" w:hAnsi="宋体"/>
          <w:color w:val="auto"/>
          <w:szCs w:val="21"/>
          <w:highlight w:val="none"/>
          <w:lang w:val="en-US" w:eastAsia="zh-CN"/>
        </w:rPr>
        <w:t>7</w:t>
      </w:r>
      <w:r>
        <w:rPr>
          <w:rFonts w:hint="eastAsia" w:ascii="宋体" w:hAnsi="宋体"/>
          <w:color w:val="auto"/>
          <w:szCs w:val="21"/>
          <w:highlight w:val="none"/>
        </w:rPr>
        <w:t>学年第</w:t>
      </w:r>
      <w:r>
        <w:rPr>
          <w:rFonts w:hint="eastAsia" w:ascii="宋体" w:hAnsi="宋体"/>
          <w:color w:val="auto"/>
          <w:szCs w:val="21"/>
          <w:highlight w:val="none"/>
          <w:lang w:val="en-US" w:eastAsia="zh-CN"/>
        </w:rPr>
        <w:t>一</w:t>
      </w:r>
      <w:r>
        <w:rPr>
          <w:rFonts w:hint="eastAsia" w:ascii="宋体" w:hAnsi="宋体"/>
          <w:color w:val="auto"/>
          <w:szCs w:val="21"/>
          <w:highlight w:val="none"/>
        </w:rPr>
        <w:t>学期各本科专业的教学任务已编审完成，教学任务可在学校教务管理系统中查看（继教学院各专业教学任务由继教学院以邮件方式发送），为保障学生选课，请各学院尽快落实任课教师等事项，并务请注意以下问题：</w:t>
      </w:r>
    </w:p>
    <w:p w14:paraId="108D9682">
      <w:pPr>
        <w:tabs>
          <w:tab w:val="left" w:pos="-540"/>
          <w:tab w:val="left" w:pos="0"/>
          <w:tab w:val="left" w:pos="180"/>
          <w:tab w:val="left" w:pos="900"/>
        </w:tabs>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一、教学任务安排</w:t>
      </w:r>
    </w:p>
    <w:p w14:paraId="293EA2CA">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1.合理安排有学习任务教师的教学任务，开学后因个人的学习任务与本校教学任务冲突时，需在开学一周内及时办理调整手续。</w:t>
      </w:r>
    </w:p>
    <w:p w14:paraId="69DE3711">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2.20</w:t>
      </w:r>
      <w:r>
        <w:rPr>
          <w:rFonts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级该学期如果为压缩周上课，各学院安排任务时注意将周学时、起止周自行进行压缩调整。其它有特殊原因需缩短教学周数的课程，经教务处批准后，各学院在系统中直接修改周学时与起止周，此后一般不再进行调整。</w:t>
      </w:r>
    </w:p>
    <w:p w14:paraId="1B8C056D">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3.助讲培养期间的教师，各学院不能安排其独立承担教学任务。课堂教学评估分低于7</w:t>
      </w:r>
      <w:r>
        <w:rPr>
          <w:rFonts w:ascii="宋体" w:hAnsi="宋体"/>
          <w:color w:val="auto"/>
          <w:szCs w:val="21"/>
          <w:highlight w:val="none"/>
        </w:rPr>
        <w:t>5</w:t>
      </w:r>
      <w:r>
        <w:rPr>
          <w:rFonts w:hint="eastAsia" w:ascii="宋体" w:hAnsi="宋体"/>
          <w:color w:val="auto"/>
          <w:szCs w:val="21"/>
          <w:highlight w:val="none"/>
        </w:rPr>
        <w:t>分的教师，不能安排任何课程的教学授课任务，需接受半年的助讲培养；助讲培养结束并试讲考核合格后才能继续承担教学任务。</w:t>
      </w:r>
    </w:p>
    <w:p w14:paraId="12B09D27">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艺术类与外语类的本专业课程、大学英语等课程一般应按一个自然班教学，其他必修课程最多可以安排两个自然班合班，其他特殊情况均需报教务处批准。安排合班教学时，各班学生层次、教学周数、进程等必须一致。由于单、合班形式对课表编排影响较大，所以课表确定后，一般不再调整课程的开班形式。</w:t>
      </w:r>
    </w:p>
    <w:p w14:paraId="2C88CB0A">
      <w:pPr>
        <w:adjustRightInd w:val="0"/>
        <w:snapToGrid w:val="0"/>
        <w:spacing w:line="360" w:lineRule="auto"/>
        <w:ind w:firstLine="422" w:firstLineChars="200"/>
        <w:rPr>
          <w:rFonts w:hint="eastAsia" w:ascii="宋体" w:hAnsi="宋体" w:cs="Arial"/>
          <w:b/>
          <w:color w:val="auto"/>
          <w:kern w:val="0"/>
          <w:szCs w:val="21"/>
          <w:highlight w:val="none"/>
          <w:u w:val="thick"/>
        </w:rPr>
      </w:pPr>
      <w:r>
        <w:rPr>
          <w:rFonts w:hint="eastAsia" w:ascii="宋体" w:hAnsi="宋体"/>
          <w:b/>
          <w:bCs/>
          <w:color w:val="auto"/>
          <w:szCs w:val="21"/>
          <w:highlight w:val="none"/>
          <w:u w:val="thick"/>
          <w:lang w:val="en-US" w:eastAsia="zh-CN"/>
        </w:rPr>
        <w:t>5</w:t>
      </w:r>
      <w:r>
        <w:rPr>
          <w:rFonts w:hint="eastAsia" w:ascii="宋体" w:hAnsi="宋体"/>
          <w:b/>
          <w:bCs/>
          <w:color w:val="auto"/>
          <w:szCs w:val="21"/>
          <w:highlight w:val="none"/>
          <w:u w:val="thick"/>
        </w:rPr>
        <w:t>.</w:t>
      </w:r>
      <w:r>
        <w:rPr>
          <w:rFonts w:hint="eastAsia" w:ascii="宋体" w:hAnsi="宋体"/>
          <w:b/>
          <w:color w:val="auto"/>
          <w:szCs w:val="21"/>
          <w:highlight w:val="none"/>
          <w:u w:val="thick"/>
        </w:rPr>
        <w:t>教授每学期都要给本科生上课（不含实践教学）</w:t>
      </w:r>
      <w:r>
        <w:rPr>
          <w:rFonts w:hint="eastAsia" w:ascii="宋体" w:hAnsi="宋体"/>
          <w:b/>
          <w:color w:val="auto"/>
          <w:szCs w:val="21"/>
          <w:highlight w:val="none"/>
          <w:u w:val="thick"/>
          <w:lang w:eastAsia="zh-CN"/>
        </w:rPr>
        <w:t>，每学年</w:t>
      </w:r>
      <w:r>
        <w:rPr>
          <w:rFonts w:hint="eastAsia" w:ascii="宋体" w:hAnsi="宋体"/>
          <w:b/>
          <w:color w:val="auto"/>
          <w:szCs w:val="21"/>
          <w:highlight w:val="none"/>
          <w:u w:val="thick"/>
          <w:lang w:val="en-US" w:eastAsia="zh-CN"/>
        </w:rPr>
        <w:t>不少于</w:t>
      </w:r>
      <w:r>
        <w:rPr>
          <w:rFonts w:hint="eastAsia" w:ascii="宋体" w:hAnsi="宋体"/>
          <w:b/>
          <w:color w:val="auto"/>
          <w:szCs w:val="21"/>
          <w:highlight w:val="none"/>
          <w:u w:val="thick"/>
          <w:lang w:eastAsia="zh-CN"/>
        </w:rPr>
        <w:t>32学时，</w:t>
      </w:r>
      <w:r>
        <w:rPr>
          <w:rFonts w:hint="eastAsia" w:ascii="宋体" w:hAnsi="宋体"/>
          <w:b/>
          <w:color w:val="auto"/>
          <w:szCs w:val="21"/>
          <w:highlight w:val="none"/>
          <w:u w:val="thick"/>
        </w:rPr>
        <w:t>副教授原则上每学期都要上课（不含实践教学）</w:t>
      </w:r>
      <w:r>
        <w:rPr>
          <w:rFonts w:hint="eastAsia" w:ascii="宋体" w:hAnsi="宋体" w:cs="Arial"/>
          <w:b/>
          <w:color w:val="auto"/>
          <w:kern w:val="0"/>
          <w:szCs w:val="21"/>
          <w:highlight w:val="none"/>
          <w:u w:val="thick"/>
        </w:rPr>
        <w:t>。</w:t>
      </w:r>
      <w:r>
        <w:rPr>
          <w:rFonts w:hint="eastAsia" w:ascii="宋体" w:hAnsi="宋体"/>
          <w:b/>
          <w:color w:val="auto"/>
          <w:szCs w:val="21"/>
          <w:highlight w:val="none"/>
          <w:u w:val="thick"/>
        </w:rPr>
        <w:t>请全面核查教授上课情况，确保教授上课率100%。如有未安排的</w:t>
      </w:r>
      <w:r>
        <w:rPr>
          <w:rFonts w:hint="eastAsia" w:ascii="宋体" w:hAnsi="宋体"/>
          <w:b/>
          <w:color w:val="auto"/>
          <w:szCs w:val="21"/>
          <w:highlight w:val="none"/>
          <w:u w:val="thick"/>
          <w:lang w:val="en-US" w:eastAsia="zh-CN"/>
        </w:rPr>
        <w:t>教授</w:t>
      </w:r>
      <w:r>
        <w:rPr>
          <w:rFonts w:hint="eastAsia" w:ascii="宋体" w:hAnsi="宋体"/>
          <w:b/>
          <w:color w:val="auto"/>
          <w:szCs w:val="21"/>
          <w:highlight w:val="none"/>
          <w:u w:val="thick"/>
        </w:rPr>
        <w:t>，</w:t>
      </w:r>
      <w:bookmarkStart w:id="1" w:name="_GoBack"/>
      <w:bookmarkEnd w:id="1"/>
      <w:r>
        <w:rPr>
          <w:rFonts w:hint="eastAsia" w:ascii="宋体" w:hAnsi="宋体"/>
          <w:b/>
          <w:color w:val="auto"/>
          <w:szCs w:val="21"/>
          <w:highlight w:val="none"/>
          <w:u w:val="thick"/>
        </w:rPr>
        <w:t>请相关</w:t>
      </w:r>
      <w:r>
        <w:rPr>
          <w:rFonts w:hint="eastAsia" w:ascii="宋体" w:hAnsi="宋体" w:cs="Arial"/>
          <w:b/>
          <w:color w:val="auto"/>
          <w:kern w:val="0"/>
          <w:szCs w:val="21"/>
          <w:highlight w:val="none"/>
          <w:u w:val="thick"/>
        </w:rPr>
        <w:t>学院教学秘书写明原因汇总好，学院领导审核签字后，报教务处备案。</w:t>
      </w:r>
      <w:bookmarkStart w:id="0" w:name="OLE_LINK1"/>
    </w:p>
    <w:p w14:paraId="3F498B12">
      <w:pPr>
        <w:adjustRightInd w:val="0"/>
        <w:snapToGrid w:val="0"/>
        <w:spacing w:line="360" w:lineRule="auto"/>
        <w:ind w:firstLine="422" w:firstLineChars="200"/>
        <w:rPr>
          <w:rFonts w:ascii="宋体" w:hAnsi="宋体"/>
          <w:b/>
          <w:color w:val="auto"/>
          <w:szCs w:val="21"/>
          <w:highlight w:val="none"/>
          <w:u w:val="thick"/>
        </w:rPr>
      </w:pPr>
      <w:r>
        <w:rPr>
          <w:rFonts w:hint="eastAsia" w:ascii="宋体" w:hAnsi="宋体"/>
          <w:b/>
          <w:color w:val="auto"/>
          <w:szCs w:val="21"/>
          <w:highlight w:val="none"/>
          <w:u w:val="thick"/>
        </w:rPr>
        <w:t>根据《浙江工商大学教职工年度考核办法》</w:t>
      </w:r>
      <w:r>
        <w:rPr>
          <w:rFonts w:ascii="宋体" w:hAnsi="宋体"/>
          <w:b/>
          <w:color w:val="auto"/>
          <w:szCs w:val="21"/>
          <w:highlight w:val="none"/>
          <w:u w:val="thick"/>
        </w:rPr>
        <w:t>（浙商大人〔2024〕104 号）</w:t>
      </w:r>
      <w:r>
        <w:rPr>
          <w:rFonts w:hint="eastAsia" w:ascii="宋体" w:hAnsi="宋体"/>
          <w:b/>
          <w:color w:val="auto"/>
          <w:szCs w:val="21"/>
          <w:highlight w:val="none"/>
          <w:u w:val="thick"/>
        </w:rPr>
        <w:t>第十五条第（六）款和第十六条第（七）款，对于考核年度内无正当理由未承担本科生课堂教学工作的教授或副教授，确定为基本合格档次；对于无正当理由连续二个考核年度未承担本科生课堂教学工作的教授或副教授，确定为不合格档次。</w:t>
      </w:r>
    </w:p>
    <w:bookmarkEnd w:id="0"/>
    <w:p w14:paraId="0766E14F">
      <w:pPr>
        <w:adjustRightInd w:val="0"/>
        <w:snapToGrid w:val="0"/>
        <w:spacing w:line="360" w:lineRule="auto"/>
        <w:ind w:firstLine="422" w:firstLineChars="200"/>
        <w:rPr>
          <w:rFonts w:ascii="宋体" w:hAnsi="宋体"/>
          <w:b/>
          <w:color w:val="auto"/>
          <w:szCs w:val="21"/>
          <w:highlight w:val="none"/>
          <w:u w:val="thick"/>
        </w:rPr>
      </w:pPr>
      <w:r>
        <w:rPr>
          <w:rFonts w:ascii="宋体" w:hAnsi="宋体"/>
          <w:b/>
          <w:color w:val="auto"/>
          <w:szCs w:val="21"/>
          <w:highlight w:val="none"/>
          <w:u w:val="thick"/>
        </w:rPr>
        <w:t>6.</w:t>
      </w:r>
      <w:r>
        <w:rPr>
          <w:rFonts w:hint="eastAsia" w:ascii="宋体" w:hAnsi="宋体"/>
          <w:b/>
          <w:color w:val="auto"/>
          <w:szCs w:val="21"/>
          <w:highlight w:val="none"/>
          <w:u w:val="thick"/>
        </w:rPr>
        <w:t>多人合上课程的教学任务，需按实际上课情况分开落实。</w:t>
      </w:r>
    </w:p>
    <w:p w14:paraId="69F3CC56">
      <w:pPr>
        <w:adjustRightInd w:val="0"/>
        <w:snapToGrid w:val="0"/>
        <w:spacing w:line="360" w:lineRule="auto"/>
        <w:ind w:firstLine="422" w:firstLineChars="200"/>
        <w:rPr>
          <w:rFonts w:ascii="宋体" w:hAnsi="宋体"/>
          <w:b/>
          <w:color w:val="auto"/>
          <w:szCs w:val="21"/>
          <w:highlight w:val="none"/>
          <w:u w:val="thick"/>
        </w:rPr>
      </w:pPr>
      <w:r>
        <w:rPr>
          <w:rFonts w:hint="eastAsia" w:ascii="宋体" w:hAnsi="宋体"/>
          <w:b/>
          <w:color w:val="auto"/>
          <w:szCs w:val="21"/>
          <w:highlight w:val="none"/>
          <w:u w:val="none"/>
        </w:rPr>
        <w:t>7</w:t>
      </w:r>
      <w:r>
        <w:rPr>
          <w:rFonts w:ascii="宋体" w:hAnsi="宋体"/>
          <w:b/>
          <w:color w:val="auto"/>
          <w:szCs w:val="21"/>
          <w:highlight w:val="none"/>
          <w:u w:val="none"/>
        </w:rPr>
        <w:t>.</w:t>
      </w:r>
      <w:r>
        <w:rPr>
          <w:rFonts w:hint="eastAsia" w:ascii="宋体" w:hAnsi="宋体"/>
          <w:b/>
          <w:color w:val="auto"/>
          <w:szCs w:val="21"/>
          <w:highlight w:val="none"/>
          <w:u w:val="none"/>
        </w:rPr>
        <w:t>同一课程代码的同一门课程授课方式、考试方式、教材使用等均需相同。</w:t>
      </w:r>
    </w:p>
    <w:p w14:paraId="34E93F77">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.毕业实习、毕业论文、课程设计等实践类课程均需在教务管理系统内落实教学任务。</w:t>
      </w:r>
    </w:p>
    <w:p w14:paraId="62ACBFAD">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.各学院拟聘请外校教师承担普通本科教学任务时，须首先向下沙高教园区教师互聘系统中提出需求。</w:t>
      </w:r>
    </w:p>
    <w:p w14:paraId="6EE9A75B">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.为方便课表排出后能及时通知老师，请各学院将</w:t>
      </w:r>
      <w:r>
        <w:rPr>
          <w:rFonts w:ascii="宋体" w:hAnsi="宋体"/>
          <w:color w:val="auto"/>
          <w:szCs w:val="21"/>
          <w:highlight w:val="none"/>
        </w:rPr>
        <w:t>【</w:t>
      </w:r>
      <w:r>
        <w:rPr>
          <w:rFonts w:hint="eastAsia" w:ascii="宋体" w:hAnsi="宋体"/>
          <w:color w:val="auto"/>
          <w:szCs w:val="21"/>
          <w:highlight w:val="none"/>
        </w:rPr>
        <w:t>系统管理</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权限管理</w:t>
      </w:r>
      <w:r>
        <w:rPr>
          <w:rFonts w:ascii="宋体" w:hAnsi="宋体"/>
          <w:color w:val="auto"/>
          <w:szCs w:val="21"/>
          <w:highlight w:val="none"/>
        </w:rPr>
        <w:t>】</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用户管理</w:t>
      </w:r>
      <w:r>
        <w:rPr>
          <w:rFonts w:ascii="宋体" w:hAnsi="宋体"/>
          <w:color w:val="auto"/>
          <w:szCs w:val="21"/>
          <w:highlight w:val="none"/>
        </w:rPr>
        <w:t>】</w:t>
      </w:r>
      <w:r>
        <w:rPr>
          <w:rFonts w:hint="eastAsia" w:ascii="宋体" w:hAnsi="宋体"/>
          <w:color w:val="auto"/>
          <w:szCs w:val="21"/>
          <w:highlight w:val="none"/>
        </w:rPr>
        <w:t>中老师的联系电话（手机号）维护正确。</w:t>
      </w:r>
    </w:p>
    <w:p w14:paraId="05F205E5">
      <w:pPr>
        <w:spacing w:line="480" w:lineRule="auto"/>
        <w:ind w:firstLine="420"/>
        <w:rPr>
          <w:rFonts w:hint="eastAsia"/>
          <w:color w:val="auto"/>
          <w:highlight w:val="none"/>
        </w:rPr>
      </w:pPr>
      <w:r>
        <w:rPr>
          <w:rFonts w:hint="eastAsia" w:ascii="宋体" w:hAnsi="宋体"/>
          <w:b/>
          <w:color w:val="auto"/>
          <w:szCs w:val="21"/>
          <w:highlight w:val="none"/>
          <w:u w:val="none"/>
        </w:rPr>
        <w:t>1</w:t>
      </w:r>
      <w:r>
        <w:rPr>
          <w:rFonts w:ascii="宋体" w:hAnsi="宋体"/>
          <w:b/>
          <w:color w:val="auto"/>
          <w:szCs w:val="21"/>
          <w:highlight w:val="none"/>
          <w:u w:val="none"/>
        </w:rPr>
        <w:t>1</w:t>
      </w:r>
      <w:r>
        <w:rPr>
          <w:rFonts w:hint="eastAsia" w:ascii="宋体" w:hAnsi="宋体"/>
          <w:b/>
          <w:color w:val="auto"/>
          <w:szCs w:val="21"/>
          <w:highlight w:val="none"/>
          <w:u w:val="none"/>
        </w:rPr>
        <w:t>.</w:t>
      </w:r>
      <w:r>
        <w:rPr>
          <w:b/>
          <w:color w:val="auto"/>
          <w:highlight w:val="none"/>
          <w:u w:val="none"/>
        </w:rPr>
        <w:t>请各学院认真核查下学期开设课程教材选用的规范，确保马克思主义理论研究和建设工程重点教材的统一使用，重点对哲学社会科学教材、境外教材的选用进行政治把关，并在学院网站对下学期选用教材情况进行公示。</w:t>
      </w:r>
      <w:r>
        <w:rPr>
          <w:rFonts w:hint="eastAsia"/>
          <w:color w:val="auto"/>
          <w:highlight w:val="none"/>
        </w:rPr>
        <w:t>若有不明可咨询课程思政教学研究中心李沁凌老师。</w:t>
      </w:r>
    </w:p>
    <w:p w14:paraId="6A1213B8">
      <w:pPr>
        <w:adjustRightInd w:val="0"/>
        <w:snapToGrid w:val="0"/>
        <w:spacing w:line="360" w:lineRule="auto"/>
        <w:ind w:firstLine="422" w:firstLineChars="200"/>
        <w:rPr>
          <w:rFonts w:hint="eastAsia"/>
          <w:color w:val="auto"/>
          <w:highlight w:val="none"/>
          <w:u w:val="none"/>
        </w:rPr>
      </w:pPr>
      <w:r>
        <w:rPr>
          <w:rFonts w:hint="eastAsia" w:ascii="宋体" w:hAnsi="宋体"/>
          <w:b/>
          <w:bCs/>
          <w:color w:val="auto"/>
          <w:szCs w:val="21"/>
          <w:highlight w:val="none"/>
          <w:u w:val="none"/>
          <w:lang w:val="en-US" w:eastAsia="zh-CN"/>
        </w:rPr>
        <w:t xml:space="preserve">12.关于教工路校区的课程安排，原则上3学分课程可安排在3节课时间段（周一 </w:t>
      </w:r>
      <w:r>
        <w:rPr>
          <w:rFonts w:hint="eastAsia" w:ascii="宋体" w:hAnsi="宋体" w:eastAsia="宋体" w:cs="宋体"/>
          <w:b/>
          <w:bCs/>
          <w:color w:val="auto"/>
          <w:szCs w:val="21"/>
          <w:highlight w:val="none"/>
          <w:u w:val="none"/>
          <w:lang w:val="en-US" w:eastAsia="zh-CN"/>
        </w:rPr>
        <w:t>～</w:t>
      </w:r>
      <w:r>
        <w:rPr>
          <w:rFonts w:hint="eastAsia" w:ascii="宋体" w:hAnsi="宋体" w:cs="宋体"/>
          <w:b/>
          <w:bCs/>
          <w:color w:val="auto"/>
          <w:szCs w:val="21"/>
          <w:highlight w:val="none"/>
          <w:u w:val="none"/>
          <w:lang w:val="en-US" w:eastAsia="zh-CN"/>
        </w:rPr>
        <w:t xml:space="preserve"> </w:t>
      </w:r>
      <w:r>
        <w:rPr>
          <w:rFonts w:hint="eastAsia" w:ascii="宋体" w:hAnsi="宋体"/>
          <w:b/>
          <w:bCs/>
          <w:color w:val="auto"/>
          <w:szCs w:val="21"/>
          <w:highlight w:val="none"/>
          <w:u w:val="none"/>
          <w:lang w:val="en-US" w:eastAsia="zh-CN"/>
        </w:rPr>
        <w:t xml:space="preserve">周五上午3-5节，周一、周二晚上10-12节），下午（67节、89节）不安排；其他课程可安排在2节课时间段（周一 </w:t>
      </w:r>
      <w:r>
        <w:rPr>
          <w:rFonts w:hint="eastAsia" w:ascii="宋体" w:hAnsi="宋体" w:eastAsia="宋体" w:cs="宋体"/>
          <w:b/>
          <w:bCs/>
          <w:color w:val="auto"/>
          <w:szCs w:val="21"/>
          <w:highlight w:val="none"/>
          <w:u w:val="none"/>
          <w:lang w:val="en-US" w:eastAsia="zh-CN"/>
        </w:rPr>
        <w:t>～</w:t>
      </w:r>
      <w:r>
        <w:rPr>
          <w:rFonts w:hint="eastAsia" w:ascii="宋体" w:hAnsi="宋体" w:cs="宋体"/>
          <w:b/>
          <w:bCs/>
          <w:color w:val="auto"/>
          <w:szCs w:val="21"/>
          <w:highlight w:val="none"/>
          <w:u w:val="none"/>
          <w:lang w:val="en-US" w:eastAsia="zh-CN"/>
        </w:rPr>
        <w:t xml:space="preserve"> </w:t>
      </w:r>
      <w:r>
        <w:rPr>
          <w:rFonts w:hint="eastAsia" w:ascii="宋体" w:hAnsi="宋体"/>
          <w:b/>
          <w:bCs/>
          <w:color w:val="auto"/>
          <w:szCs w:val="21"/>
          <w:highlight w:val="none"/>
          <w:u w:val="none"/>
          <w:lang w:val="en-US" w:eastAsia="zh-CN"/>
        </w:rPr>
        <w:t>周五早上12节，下午67节、89节），以保证学生选课。</w:t>
      </w:r>
    </w:p>
    <w:p w14:paraId="36F7635B">
      <w:pPr>
        <w:tabs>
          <w:tab w:val="left" w:pos="-540"/>
          <w:tab w:val="left" w:pos="0"/>
          <w:tab w:val="left" w:pos="180"/>
          <w:tab w:val="left" w:pos="900"/>
        </w:tabs>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二、教学任务落实截止时间</w:t>
      </w:r>
    </w:p>
    <w:p w14:paraId="2AF2FA84">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请各学院</w:t>
      </w:r>
      <w:r>
        <w:rPr>
          <w:rFonts w:hint="eastAsia" w:ascii="宋体" w:hAnsi="宋体"/>
          <w:color w:val="auto"/>
          <w:szCs w:val="21"/>
          <w:highlight w:val="none"/>
          <w:lang w:val="en-US" w:eastAsia="zh-CN"/>
        </w:rPr>
        <w:t>5</w:t>
      </w:r>
      <w:r>
        <w:rPr>
          <w:rFonts w:hint="eastAsia" w:ascii="宋体" w:hAnsi="宋体"/>
          <w:color w:val="auto"/>
          <w:szCs w:val="21"/>
          <w:highlight w:val="none"/>
        </w:rPr>
        <w:t>月</w:t>
      </w:r>
      <w:r>
        <w:rPr>
          <w:rFonts w:hint="eastAsia" w:ascii="宋体" w:hAnsi="宋体"/>
          <w:color w:val="auto"/>
          <w:szCs w:val="21"/>
          <w:highlight w:val="none"/>
          <w:lang w:val="en-US" w:eastAsia="zh-CN"/>
        </w:rPr>
        <w:t>27</w:t>
      </w:r>
      <w:r>
        <w:rPr>
          <w:rFonts w:hint="eastAsia" w:ascii="宋体" w:hAnsi="宋体"/>
          <w:color w:val="auto"/>
          <w:szCs w:val="21"/>
          <w:highlight w:val="none"/>
        </w:rPr>
        <w:t>日前完成</w:t>
      </w:r>
      <w:r>
        <w:rPr>
          <w:rFonts w:hint="eastAsia" w:ascii="宋体" w:hAnsi="宋体"/>
          <w:b/>
          <w:color w:val="auto"/>
          <w:szCs w:val="21"/>
          <w:highlight w:val="none"/>
          <w:u w:val="thick"/>
        </w:rPr>
        <w:t>普通本科生和留学生</w:t>
      </w:r>
      <w:r>
        <w:rPr>
          <w:rFonts w:hint="eastAsia" w:ascii="宋体" w:hAnsi="宋体"/>
          <w:color w:val="auto"/>
          <w:szCs w:val="21"/>
          <w:highlight w:val="none"/>
        </w:rPr>
        <w:t>的教学任务落实工作（教务系统内），若有问题请及时与教务处教学运行中心联系，联系人：李春红，电话：28877223；继教学院教学任务返回继教学院韩老师，电话：88086951。</w:t>
      </w:r>
    </w:p>
    <w:p w14:paraId="3B346C47">
      <w:pPr>
        <w:tabs>
          <w:tab w:val="left" w:pos="-540"/>
          <w:tab w:val="left" w:pos="0"/>
          <w:tab w:val="left" w:pos="180"/>
          <w:tab w:val="left" w:pos="900"/>
        </w:tabs>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三、操作流程</w:t>
      </w:r>
    </w:p>
    <w:p w14:paraId="3A64561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1.登录教务管理系统，内网登录：</w:t>
      </w:r>
      <w:r>
        <w:rPr>
          <w:color w:val="auto"/>
          <w:highlight w:val="none"/>
        </w:rPr>
        <w:fldChar w:fldCharType="begin"/>
      </w:r>
      <w:r>
        <w:rPr>
          <w:color w:val="auto"/>
          <w:highlight w:val="none"/>
        </w:rPr>
        <w:instrText xml:space="preserve"> HYPERLINK "http://10.11.138.20/jwglxt" </w:instrText>
      </w:r>
      <w:r>
        <w:rPr>
          <w:color w:val="auto"/>
          <w:highlight w:val="none"/>
        </w:rPr>
        <w:fldChar w:fldCharType="separate"/>
      </w:r>
      <w:r>
        <w:rPr>
          <w:rStyle w:val="7"/>
          <w:rFonts w:hint="eastAsia" w:ascii="宋体" w:hAnsi="宋体"/>
          <w:color w:val="auto"/>
          <w:szCs w:val="21"/>
          <w:highlight w:val="none"/>
        </w:rPr>
        <w:t>http://10.11.138.20/jwglxt</w:t>
      </w:r>
      <w:r>
        <w:rPr>
          <w:rStyle w:val="7"/>
          <w:rFonts w:hint="eastAsia" w:ascii="宋体" w:hAnsi="宋体"/>
          <w:color w:val="auto"/>
          <w:szCs w:val="21"/>
          <w:highlight w:val="none"/>
        </w:rPr>
        <w:fldChar w:fldCharType="end"/>
      </w:r>
      <w:r>
        <w:rPr>
          <w:rFonts w:hint="eastAsia" w:ascii="宋体" w:hAnsi="宋体"/>
          <w:color w:val="auto"/>
          <w:szCs w:val="21"/>
          <w:highlight w:val="none"/>
        </w:rPr>
        <w:t>；</w:t>
      </w:r>
    </w:p>
    <w:p w14:paraId="428E86C8">
      <w:pPr>
        <w:spacing w:line="360" w:lineRule="auto"/>
        <w:ind w:firstLine="2520" w:firstLineChars="1200"/>
        <w:rPr>
          <w:rFonts w:ascii="宋体" w:hAnsi="宋体"/>
          <w:color w:val="auto"/>
          <w:szCs w:val="21"/>
          <w:highlight w:val="none"/>
        </w:rPr>
      </w:pPr>
      <w:r>
        <w:rPr>
          <w:rFonts w:hint="eastAsia" w:ascii="宋体" w:hAnsi="宋体"/>
          <w:color w:val="auto"/>
          <w:szCs w:val="21"/>
          <w:highlight w:val="none"/>
        </w:rPr>
        <w:t>外网登录：</w:t>
      </w:r>
      <w:r>
        <w:rPr>
          <w:color w:val="auto"/>
          <w:highlight w:val="none"/>
        </w:rPr>
        <w:fldChar w:fldCharType="begin"/>
      </w:r>
      <w:r>
        <w:rPr>
          <w:color w:val="auto"/>
          <w:highlight w:val="none"/>
        </w:rPr>
        <w:instrText xml:space="preserve"> HYPERLINK "http://124.160.64.163/jwglxt" </w:instrText>
      </w:r>
      <w:r>
        <w:rPr>
          <w:color w:val="auto"/>
          <w:highlight w:val="none"/>
        </w:rPr>
        <w:fldChar w:fldCharType="separate"/>
      </w:r>
      <w:r>
        <w:rPr>
          <w:rStyle w:val="7"/>
          <w:rFonts w:ascii="宋体" w:hAnsi="宋体"/>
          <w:color w:val="auto"/>
          <w:szCs w:val="21"/>
          <w:highlight w:val="none"/>
        </w:rPr>
        <w:t>http://124.160.64.163/jwglxt</w:t>
      </w:r>
      <w:r>
        <w:rPr>
          <w:rStyle w:val="7"/>
          <w:rFonts w:ascii="宋体" w:hAnsi="宋体"/>
          <w:color w:val="auto"/>
          <w:szCs w:val="21"/>
          <w:highlight w:val="none"/>
        </w:rPr>
        <w:fldChar w:fldCharType="end"/>
      </w:r>
      <w:r>
        <w:rPr>
          <w:rFonts w:hint="eastAsia" w:ascii="宋体" w:hAnsi="宋体"/>
          <w:color w:val="auto"/>
          <w:szCs w:val="21"/>
          <w:highlight w:val="none"/>
        </w:rPr>
        <w:t>，</w:t>
      </w:r>
    </w:p>
    <w:p w14:paraId="799E3428">
      <w:pPr>
        <w:spacing w:line="360" w:lineRule="auto"/>
        <w:ind w:firstLine="2520" w:firstLineChars="1200"/>
        <w:rPr>
          <w:rFonts w:ascii="宋体" w:hAnsi="宋体"/>
          <w:color w:val="auto"/>
          <w:szCs w:val="21"/>
          <w:highlight w:val="none"/>
        </w:rPr>
      </w:pPr>
      <w:r>
        <w:rPr>
          <w:rFonts w:hint="eastAsia" w:ascii="宋体" w:hAnsi="宋体"/>
          <w:color w:val="auto"/>
          <w:szCs w:val="21"/>
          <w:highlight w:val="none"/>
        </w:rPr>
        <w:t>或者登录：教务网——教务管理系统。</w:t>
      </w:r>
    </w:p>
    <w:p w14:paraId="1F2F903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2.任务导出：教学计划管理——教学执行计划——开课班级情况查询。</w:t>
      </w:r>
    </w:p>
    <w:p w14:paraId="55C30A9E">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注意：专业选修课预选课程状态为已停开或者人数为0的课程不用安排任务。</w:t>
      </w:r>
    </w:p>
    <w:p w14:paraId="7256957A">
      <w:pPr>
        <w:spacing w:line="360" w:lineRule="auto"/>
        <w:ind w:firstLine="422" w:firstLineChars="200"/>
        <w:rPr>
          <w:rFonts w:ascii="宋体" w:hAnsi="宋体"/>
          <w:b/>
          <w:color w:val="auto"/>
          <w:szCs w:val="21"/>
          <w:highlight w:val="none"/>
          <w:u w:val="thick"/>
        </w:rPr>
      </w:pPr>
      <w:r>
        <w:rPr>
          <w:rFonts w:hint="eastAsia" w:ascii="宋体" w:hAnsi="宋体"/>
          <w:b/>
          <w:color w:val="auto"/>
          <w:szCs w:val="21"/>
          <w:highlight w:val="none"/>
          <w:u w:val="thick"/>
        </w:rPr>
        <w:t>毕业实习、毕业论文、课程设计等实践类课程，如果不需要排课，落实任务时一定要打上“不排课”标记，否则会影响该门课程的学生课表生成，从而导致学生课表上没有该门课程。</w:t>
      </w:r>
    </w:p>
    <w:p w14:paraId="56E9DDB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3.任务落实：教学计划管理——教学任务落实——主修专业任务落实。</w:t>
      </w:r>
    </w:p>
    <w:p w14:paraId="49BDCC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）点击“查询”，在“未落实”课程中出现全部课程，选中某门课程。</w:t>
      </w:r>
      <w:r>
        <w:rPr>
          <w:rFonts w:hint="eastAsia" w:ascii="宋体" w:hAnsi="宋体"/>
          <w:b/>
          <w:color w:val="auto"/>
          <w:szCs w:val="21"/>
          <w:highlight w:val="none"/>
          <w:u w:val="thick"/>
        </w:rPr>
        <w:t>首先选择</w:t>
      </w:r>
      <w:r>
        <w:rPr>
          <w:rFonts w:hint="eastAsia" w:ascii="宋体" w:hAnsi="宋体"/>
          <w:color w:val="auto"/>
          <w:szCs w:val="21"/>
          <w:highlight w:val="none"/>
        </w:rPr>
        <w:t>“</w:t>
      </w:r>
      <w:r>
        <w:rPr>
          <w:rFonts w:ascii="宋体" w:hAnsi="宋体"/>
          <w:color w:val="auto"/>
          <w:szCs w:val="21"/>
          <w:highlight w:val="none"/>
        </w:rPr>
        <w:t>考试形式</w:t>
      </w:r>
      <w:r>
        <w:rPr>
          <w:rFonts w:hint="eastAsia" w:ascii="宋体" w:hAnsi="宋体"/>
          <w:color w:val="auto"/>
          <w:szCs w:val="21"/>
          <w:highlight w:val="none"/>
        </w:rPr>
        <w:t>”、“</w:t>
      </w:r>
      <w:r>
        <w:rPr>
          <w:rFonts w:ascii="宋体" w:hAnsi="宋体"/>
          <w:color w:val="auto"/>
          <w:szCs w:val="21"/>
          <w:highlight w:val="none"/>
        </w:rPr>
        <w:t>考试方式</w:t>
      </w:r>
      <w:r>
        <w:rPr>
          <w:rFonts w:hint="eastAsia" w:ascii="宋体" w:hAnsi="宋体"/>
          <w:color w:val="auto"/>
          <w:szCs w:val="21"/>
          <w:highlight w:val="none"/>
        </w:rPr>
        <w:t>”和 “</w:t>
      </w:r>
      <w:r>
        <w:rPr>
          <w:rFonts w:ascii="宋体" w:hAnsi="宋体"/>
          <w:color w:val="auto"/>
          <w:szCs w:val="21"/>
          <w:highlight w:val="none"/>
        </w:rPr>
        <w:t>考核方式</w:t>
      </w:r>
      <w:r>
        <w:rPr>
          <w:rFonts w:hint="eastAsia" w:ascii="宋体" w:hAnsi="宋体"/>
          <w:color w:val="auto"/>
          <w:szCs w:val="21"/>
          <w:highlight w:val="none"/>
        </w:rPr>
        <w:t>”。再单击某个专业，选择合班信息，如果是跨专业合班，直接点击“教学班组成”按钮，教学班落实完成，点击“确认”按钮。</w:t>
      </w:r>
    </w:p>
    <w:p w14:paraId="64F816F3">
      <w:pPr>
        <w:spacing w:line="360" w:lineRule="auto"/>
        <w:ind w:firstLine="422" w:firstLineChars="200"/>
        <w:rPr>
          <w:rFonts w:ascii="宋体" w:hAnsi="宋体"/>
          <w:b/>
          <w:color w:val="auto"/>
          <w:szCs w:val="21"/>
          <w:highlight w:val="none"/>
          <w:u w:val="thick"/>
        </w:rPr>
      </w:pPr>
      <w:r>
        <w:rPr>
          <w:rFonts w:hint="eastAsia" w:ascii="宋体" w:hAnsi="宋体"/>
          <w:b/>
          <w:color w:val="auto"/>
          <w:szCs w:val="21"/>
          <w:highlight w:val="none"/>
        </w:rPr>
        <w:t>注意：同一课程代码的同一门课程，考试方式必须相同。</w:t>
      </w:r>
    </w:p>
    <w:p w14:paraId="735397E5">
      <w:pPr>
        <w:spacing w:line="480" w:lineRule="auto"/>
        <w:rPr>
          <w:color w:val="auto"/>
          <w:highlight w:val="none"/>
        </w:rPr>
      </w:pPr>
      <w:r>
        <w:rPr>
          <w:color w:val="auto"/>
          <w:highlight w:val="none"/>
        </w:rPr>
        <w:drawing>
          <wp:inline distT="0" distB="0" distL="0" distR="0">
            <wp:extent cx="5276850" cy="27622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srcRect/>
                    <a:stretch>
                      <a:fillRect/>
                    </a:stretch>
                  </pic:blipFill>
                  <pic:spPr>
                    <a:xfrm>
                      <a:off x="0" y="0"/>
                      <a:ext cx="5276850" cy="2762250"/>
                    </a:xfrm>
                    <a:prstGeom prst="rect">
                      <a:avLst/>
                    </a:prstGeom>
                    <a:noFill/>
                    <a:ln w="9525">
                      <a:noFill/>
                      <a:miter lim="800000"/>
                      <a:headEnd/>
                      <a:tailEnd/>
                    </a:ln>
                  </pic:spPr>
                </pic:pic>
              </a:graphicData>
            </a:graphic>
          </wp:inline>
        </w:drawing>
      </w:r>
    </w:p>
    <w:p w14:paraId="3523B72F">
      <w:pPr>
        <w:spacing w:line="480" w:lineRule="auto"/>
        <w:rPr>
          <w:color w:val="auto"/>
          <w:highlight w:val="none"/>
        </w:rPr>
      </w:pPr>
      <w:r>
        <w:rPr>
          <w:color w:val="auto"/>
          <w:highlight w:val="none"/>
        </w:rPr>
        <w:drawing>
          <wp:inline distT="0" distB="0" distL="0" distR="0">
            <wp:extent cx="5270500" cy="2622550"/>
            <wp:effectExtent l="1905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srcRect/>
                    <a:stretch>
                      <a:fillRect/>
                    </a:stretch>
                  </pic:blipFill>
                  <pic:spPr>
                    <a:xfrm>
                      <a:off x="0" y="0"/>
                      <a:ext cx="5270500" cy="2622550"/>
                    </a:xfrm>
                    <a:prstGeom prst="rect">
                      <a:avLst/>
                    </a:prstGeom>
                    <a:noFill/>
                    <a:ln w="9525">
                      <a:noFill/>
                      <a:miter lim="800000"/>
                      <a:headEnd/>
                      <a:tailEnd/>
                    </a:ln>
                  </pic:spPr>
                </pic:pic>
              </a:graphicData>
            </a:graphic>
          </wp:inline>
        </w:drawing>
      </w:r>
    </w:p>
    <w:p w14:paraId="4F64298E">
      <w:pPr>
        <w:spacing w:line="360" w:lineRule="auto"/>
        <w:ind w:firstLine="420" w:firstLineChars="200"/>
        <w:rPr>
          <w:rFonts w:ascii="宋体" w:hAnsi="宋体"/>
          <w:color w:val="auto"/>
          <w:szCs w:val="21"/>
          <w:highlight w:val="none"/>
          <w:u w:val="thick"/>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选择“任课教师”界面如下图：在【部门】下拉菜单中选择学院，然后选择教师，或者直接在【职工】中输入教师姓名。【周次】中需要对上课的周数进行选择，在1-16周中进行选择，选择好后即为该上课老师的教学周。如任课教师有特殊需求（如压缩教学周）可在相应周数中选择，并同时修改周学时，然后点【确定】保存。</w:t>
      </w:r>
    </w:p>
    <w:p w14:paraId="216D5300">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注意：同一课程代码的同一门课程，授课方式必须相同。如果课程需要多人合上，合上课教师的教学任务，需按实际上课情况分开落实。</w:t>
      </w:r>
    </w:p>
    <w:p w14:paraId="78E7A310">
      <w:pPr>
        <w:spacing w:line="360" w:lineRule="auto"/>
        <w:rPr>
          <w:rFonts w:ascii="宋体" w:hAnsi="宋体"/>
          <w:b/>
          <w:color w:val="auto"/>
          <w:szCs w:val="21"/>
          <w:highlight w:val="none"/>
        </w:rPr>
      </w:pPr>
      <w:r>
        <w:rPr>
          <w:color w:val="auto"/>
          <w:highlight w:val="none"/>
        </w:rPr>
        <w:drawing>
          <wp:inline distT="0" distB="0" distL="0" distR="0">
            <wp:extent cx="5276850" cy="252095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srcRect/>
                    <a:stretch>
                      <a:fillRect/>
                    </a:stretch>
                  </pic:blipFill>
                  <pic:spPr>
                    <a:xfrm>
                      <a:off x="0" y="0"/>
                      <a:ext cx="5276850" cy="2520950"/>
                    </a:xfrm>
                    <a:prstGeom prst="rect">
                      <a:avLst/>
                    </a:prstGeom>
                    <a:noFill/>
                    <a:ln w="9525">
                      <a:noFill/>
                      <a:miter lim="800000"/>
                      <a:headEnd/>
                      <a:tailEnd/>
                    </a:ln>
                  </pic:spPr>
                </pic:pic>
              </a:graphicData>
            </a:graphic>
          </wp:inline>
        </w:drawing>
      </w:r>
    </w:p>
    <w:p w14:paraId="653D20FC">
      <w:pPr>
        <w:spacing w:line="360" w:lineRule="auto"/>
        <w:ind w:firstLine="422" w:firstLineChars="200"/>
        <w:rPr>
          <w:rFonts w:hint="eastAsia" w:ascii="宋体" w:hAnsi="宋体" w:eastAsia="宋体"/>
          <w:b/>
          <w:color w:val="auto"/>
          <w:szCs w:val="21"/>
          <w:highlight w:val="none"/>
          <w:lang w:eastAsia="zh-CN"/>
        </w:rPr>
      </w:pPr>
      <w:r>
        <w:rPr>
          <w:rFonts w:hint="eastAsia" w:ascii="宋体" w:hAnsi="宋体"/>
          <w:b/>
          <w:color w:val="auto"/>
          <w:szCs w:val="21"/>
          <w:highlight w:val="none"/>
        </w:rPr>
        <w:t>（</w:t>
      </w:r>
      <w:r>
        <w:rPr>
          <w:rFonts w:ascii="宋体" w:hAnsi="宋体"/>
          <w:b/>
          <w:color w:val="auto"/>
          <w:szCs w:val="21"/>
          <w:highlight w:val="none"/>
        </w:rPr>
        <w:t>3</w:t>
      </w:r>
      <w:r>
        <w:rPr>
          <w:rFonts w:hint="eastAsia" w:ascii="宋体" w:hAnsi="宋体"/>
          <w:b/>
          <w:color w:val="auto"/>
          <w:szCs w:val="21"/>
          <w:highlight w:val="none"/>
        </w:rPr>
        <w:t>）落实教学任务的时候，</w:t>
      </w:r>
      <w:r>
        <w:rPr>
          <w:rFonts w:hint="eastAsia" w:ascii="宋体" w:hAnsi="宋体"/>
          <w:b/>
          <w:color w:val="auto"/>
          <w:szCs w:val="21"/>
          <w:highlight w:val="none"/>
          <w:lang w:val="en-US" w:eastAsia="zh-CN"/>
        </w:rPr>
        <w:t>请</w:t>
      </w:r>
      <w:r>
        <w:rPr>
          <w:rFonts w:hint="eastAsia" w:ascii="宋体" w:hAnsi="宋体"/>
          <w:b/>
          <w:color w:val="auto"/>
          <w:szCs w:val="21"/>
          <w:highlight w:val="none"/>
        </w:rPr>
        <w:t>根据选课等需要设定好“扩容容量”、“是否选课”。最终教学班容量=任务人数+扩容容量；“是否选课”按钮下拉</w:t>
      </w:r>
      <w:r>
        <w:rPr>
          <w:rFonts w:hint="eastAsia" w:ascii="宋体" w:hAnsi="宋体"/>
          <w:b/>
          <w:color w:val="auto"/>
          <w:szCs w:val="21"/>
          <w:highlight w:val="none"/>
          <w:lang w:val="en-US" w:eastAsia="zh-CN"/>
        </w:rPr>
        <w:t>选择</w:t>
      </w:r>
      <w:r>
        <w:rPr>
          <w:rFonts w:hint="eastAsia" w:ascii="宋体" w:hAnsi="宋体"/>
          <w:b/>
          <w:color w:val="auto"/>
          <w:szCs w:val="21"/>
          <w:highlight w:val="none"/>
        </w:rPr>
        <w:t>“是”，如不需选课“是否选课”选“否”。</w:t>
      </w:r>
    </w:p>
    <w:p w14:paraId="153AFB83">
      <w:pPr>
        <w:spacing w:line="480" w:lineRule="auto"/>
        <w:rPr>
          <w:rFonts w:ascii="宋体" w:hAnsi="宋体"/>
          <w:color w:val="auto"/>
          <w:szCs w:val="21"/>
          <w:highlight w:val="none"/>
        </w:rPr>
      </w:pPr>
      <w:r>
        <w:rPr>
          <w:color w:val="auto"/>
          <w:highlight w:val="none"/>
        </w:rPr>
        <w:drawing>
          <wp:inline distT="0" distB="0" distL="0" distR="0">
            <wp:extent cx="5264150" cy="3092450"/>
            <wp:effectExtent l="1905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
                    <a:srcRect/>
                    <a:stretch>
                      <a:fillRect/>
                    </a:stretch>
                  </pic:blipFill>
                  <pic:spPr>
                    <a:xfrm>
                      <a:off x="0" y="0"/>
                      <a:ext cx="5264150" cy="3092450"/>
                    </a:xfrm>
                    <a:prstGeom prst="rect">
                      <a:avLst/>
                    </a:prstGeom>
                    <a:noFill/>
                    <a:ln w="9525">
                      <a:noFill/>
                      <a:miter lim="800000"/>
                      <a:headEnd/>
                      <a:tailEnd/>
                    </a:ln>
                  </pic:spPr>
                </pic:pic>
              </a:graphicData>
            </a:graphic>
          </wp:inline>
        </w:drawing>
      </w:r>
    </w:p>
    <w:p w14:paraId="12126BB6">
      <w:pPr>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注意：</w:t>
      </w:r>
      <w:r>
        <w:rPr>
          <w:rFonts w:ascii="宋体" w:hAnsi="宋体"/>
          <w:b/>
          <w:color w:val="auto"/>
          <w:szCs w:val="21"/>
          <w:highlight w:val="none"/>
        </w:rPr>
        <w:t xml:space="preserve"> </w:t>
      </w:r>
      <w:r>
        <w:rPr>
          <w:rFonts w:hint="eastAsia" w:ascii="宋体" w:hAnsi="宋体"/>
          <w:b/>
          <w:color w:val="auto"/>
          <w:szCs w:val="21"/>
          <w:highlight w:val="none"/>
        </w:rPr>
        <w:t>如果选课有学生要求，可以点击“面向对象”，选择相应的条件，点“面向”或者“限制”，“面向”和“限制”二选一，不能同时使用；同时，可以在“选课备注”里注明，如：《**课程》只面向  **年级**专业选课。</w:t>
      </w:r>
    </w:p>
    <w:p w14:paraId="3658C46E">
      <w:pPr>
        <w:spacing w:line="480" w:lineRule="auto"/>
        <w:jc w:val="center"/>
        <w:rPr>
          <w:rFonts w:ascii="宋体" w:hAnsi="宋体"/>
          <w:color w:val="auto"/>
          <w:szCs w:val="21"/>
          <w:highlight w:val="none"/>
        </w:rPr>
      </w:pPr>
      <w:r>
        <w:rPr>
          <w:rFonts w:ascii="宋体" w:hAnsi="宋体"/>
          <w:color w:val="auto"/>
          <w:szCs w:val="21"/>
          <w:highlight w:val="none"/>
        </w:rPr>
        <w:drawing>
          <wp:inline distT="0" distB="0" distL="0" distR="0">
            <wp:extent cx="3340100" cy="1968500"/>
            <wp:effectExtent l="1905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8"/>
                    <a:srcRect/>
                    <a:stretch>
                      <a:fillRect/>
                    </a:stretch>
                  </pic:blipFill>
                  <pic:spPr>
                    <a:xfrm>
                      <a:off x="0" y="0"/>
                      <a:ext cx="3340100" cy="1968500"/>
                    </a:xfrm>
                    <a:prstGeom prst="rect">
                      <a:avLst/>
                    </a:prstGeom>
                    <a:noFill/>
                    <a:ln w="9525">
                      <a:noFill/>
                      <a:miter lim="800000"/>
                      <a:headEnd/>
                      <a:tailEnd/>
                    </a:ln>
                  </pic:spPr>
                </pic:pic>
              </a:graphicData>
            </a:graphic>
          </wp:inline>
        </w:drawing>
      </w:r>
    </w:p>
    <w:p w14:paraId="056C159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）选择“场地类别”。</w:t>
      </w:r>
      <w:r>
        <w:rPr>
          <w:rFonts w:hint="eastAsia" w:ascii="宋体" w:hAnsi="宋体"/>
          <w:b/>
          <w:color w:val="auto"/>
          <w:szCs w:val="21"/>
          <w:highlight w:val="none"/>
          <w:u w:val="thick"/>
        </w:rPr>
        <w:t>如果是不需要排课的实践类课程，一定要打上“不排课”标记，</w:t>
      </w:r>
      <w:r>
        <w:rPr>
          <w:rFonts w:hint="eastAsia" w:ascii="宋体" w:hAnsi="宋体"/>
          <w:color w:val="auto"/>
          <w:szCs w:val="21"/>
          <w:highlight w:val="none"/>
        </w:rPr>
        <w:t>之后点击“保存”。</w:t>
      </w:r>
    </w:p>
    <w:p w14:paraId="5A737FB9">
      <w:pPr>
        <w:spacing w:line="480" w:lineRule="auto"/>
        <w:jc w:val="center"/>
        <w:rPr>
          <w:color w:val="auto"/>
          <w:highlight w:val="none"/>
        </w:rPr>
      </w:pPr>
      <w:r>
        <w:rPr>
          <w:color w:val="auto"/>
          <w:highlight w:val="none"/>
        </w:rPr>
        <w:drawing>
          <wp:inline distT="0" distB="0" distL="0" distR="0">
            <wp:extent cx="5264150" cy="1949450"/>
            <wp:effectExtent l="1905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srcRect/>
                    <a:stretch>
                      <a:fillRect/>
                    </a:stretch>
                  </pic:blipFill>
                  <pic:spPr>
                    <a:xfrm>
                      <a:off x="0" y="0"/>
                      <a:ext cx="5264150" cy="1949450"/>
                    </a:xfrm>
                    <a:prstGeom prst="rect">
                      <a:avLst/>
                    </a:prstGeom>
                    <a:noFill/>
                    <a:ln w="9525">
                      <a:noFill/>
                      <a:miter lim="800000"/>
                      <a:headEnd/>
                      <a:tailEnd/>
                    </a:ln>
                  </pic:spPr>
                </pic:pic>
              </a:graphicData>
            </a:graphic>
          </wp:inline>
        </w:drawing>
      </w:r>
    </w:p>
    <w:p w14:paraId="4BA7FF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）您所安排课程的第一个教学班已经录成功，在【部分落实】里面可以看到您录的相关信息，如需修改可以点击修改或删除进行操作。</w:t>
      </w:r>
    </w:p>
    <w:p w14:paraId="44B8E13F">
      <w:pPr>
        <w:spacing w:line="480" w:lineRule="auto"/>
        <w:rPr>
          <w:rFonts w:ascii="宋体" w:hAnsi="宋体"/>
          <w:color w:val="auto"/>
          <w:szCs w:val="21"/>
          <w:highlight w:val="none"/>
        </w:rPr>
      </w:pPr>
      <w:r>
        <w:rPr>
          <w:rFonts w:hint="eastAsia" w:ascii="宋体" w:hAnsi="宋体"/>
          <w:color w:val="auto"/>
          <w:szCs w:val="21"/>
          <w:highlight w:val="none"/>
        </w:rPr>
        <w:drawing>
          <wp:inline distT="0" distB="0" distL="0" distR="0">
            <wp:extent cx="5270500" cy="3092450"/>
            <wp:effectExtent l="1905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0"/>
                    <a:srcRect/>
                    <a:stretch>
                      <a:fillRect/>
                    </a:stretch>
                  </pic:blipFill>
                  <pic:spPr>
                    <a:xfrm>
                      <a:off x="0" y="0"/>
                      <a:ext cx="5270500" cy="3092450"/>
                    </a:xfrm>
                    <a:prstGeom prst="rect">
                      <a:avLst/>
                    </a:prstGeom>
                    <a:noFill/>
                    <a:ln w="9525">
                      <a:noFill/>
                      <a:miter lim="800000"/>
                      <a:headEnd/>
                      <a:tailEnd/>
                    </a:ln>
                  </pic:spPr>
                </pic:pic>
              </a:graphicData>
            </a:graphic>
          </wp:inline>
        </w:drawing>
      </w:r>
    </w:p>
    <w:p w14:paraId="37D7CD9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（6）为了便于实验课在系统内排课，含课内实验的课程（该课程包含理论课和实验课），其理论课部分和实验课部分要在教务系统内分开落实任务，并与实际上课情况相符。具体操作如下：</w:t>
      </w:r>
    </w:p>
    <w:p w14:paraId="2136C7D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a.在“主修专业任务落实”里，首先落实好该课程的理论课任务（落实好教学班、任课教师、周学时、起始结束周、场地类别等），落实好之后会出现“其他学时安排”，点击“›”，进入“其他学时安排”界面进行实验课任务落实，落实好实验课任务（落实好教学班、任课教师、周学时、起始结束周、场地类别等）之后，点击“增加保存”，再选中“已落实教学班”，点击“确定”，最后点击“保存”。</w:t>
      </w:r>
    </w:p>
    <w:p w14:paraId="52F1CF35">
      <w:pPr>
        <w:rPr>
          <w:rFonts w:ascii="宋体" w:hAnsi="宋体"/>
          <w:color w:val="auto"/>
          <w:szCs w:val="21"/>
          <w:highlight w:val="none"/>
        </w:rPr>
      </w:pPr>
      <w:r>
        <w:rPr>
          <w:rFonts w:ascii="宋体" w:hAnsi="宋体"/>
          <w:color w:val="auto"/>
          <w:szCs w:val="21"/>
          <w:highlight w:val="none"/>
        </w:rPr>
        <w:drawing>
          <wp:inline distT="0" distB="0" distL="0" distR="0">
            <wp:extent cx="5276850" cy="2635250"/>
            <wp:effectExtent l="19050" t="0" r="0" b="0"/>
            <wp:docPr id="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pic:cNvPicPr>
                      <a:picLocks noChangeAspect="1" noChangeArrowheads="1"/>
                    </pic:cNvPicPr>
                  </pic:nvPicPr>
                  <pic:blipFill>
                    <a:blip r:embed="rId11"/>
                    <a:srcRect/>
                    <a:stretch>
                      <a:fillRect/>
                    </a:stretch>
                  </pic:blipFill>
                  <pic:spPr>
                    <a:xfrm>
                      <a:off x="0" y="0"/>
                      <a:ext cx="5276850" cy="2635250"/>
                    </a:xfrm>
                    <a:prstGeom prst="rect">
                      <a:avLst/>
                    </a:prstGeom>
                    <a:noFill/>
                    <a:ln w="9525">
                      <a:noFill/>
                      <a:miter lim="800000"/>
                      <a:headEnd/>
                      <a:tailEnd/>
                    </a:ln>
                  </pic:spPr>
                </pic:pic>
              </a:graphicData>
            </a:graphic>
          </wp:inline>
        </w:drawing>
      </w:r>
    </w:p>
    <w:p w14:paraId="26AB0014">
      <w:pPr>
        <w:rPr>
          <w:rFonts w:ascii="宋体" w:hAnsi="宋体"/>
          <w:color w:val="auto"/>
          <w:szCs w:val="21"/>
          <w:highlight w:val="none"/>
        </w:rPr>
      </w:pPr>
      <w:r>
        <w:rPr>
          <w:rFonts w:ascii="宋体" w:hAnsi="宋体"/>
          <w:color w:val="auto"/>
          <w:szCs w:val="21"/>
          <w:highlight w:val="none"/>
        </w:rPr>
        <w:drawing>
          <wp:inline distT="0" distB="0" distL="0" distR="0">
            <wp:extent cx="5276850" cy="2933700"/>
            <wp:effectExtent l="19050" t="0" r="0" b="0"/>
            <wp:docPr id="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6"/>
                    <pic:cNvPicPr>
                      <a:picLocks noChangeAspect="1" noChangeArrowheads="1"/>
                    </pic:cNvPicPr>
                  </pic:nvPicPr>
                  <pic:blipFill>
                    <a:blip r:embed="rId12"/>
                    <a:srcRect/>
                    <a:stretch>
                      <a:fillRect/>
                    </a:stretch>
                  </pic:blipFill>
                  <pic:spPr>
                    <a:xfrm>
                      <a:off x="0" y="0"/>
                      <a:ext cx="5276850" cy="2933700"/>
                    </a:xfrm>
                    <a:prstGeom prst="rect">
                      <a:avLst/>
                    </a:prstGeom>
                    <a:noFill/>
                    <a:ln w="9525">
                      <a:noFill/>
                      <a:miter lim="800000"/>
                      <a:headEnd/>
                      <a:tailEnd/>
                    </a:ln>
                  </pic:spPr>
                </pic:pic>
              </a:graphicData>
            </a:graphic>
          </wp:inline>
        </w:drawing>
      </w:r>
    </w:p>
    <w:p w14:paraId="575F1BB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b.落实好任务后，可以在“主修专业任务落实”的“已落实”里查看已落实好的任务。</w:t>
      </w:r>
    </w:p>
    <w:p w14:paraId="159F288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（7）指定教材</w:t>
      </w:r>
    </w:p>
    <w:p w14:paraId="5171FCD2">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教学任务落实好之后，需要指定教材。教学计划管理——任务教材指定管理——任务教材指定申请，选择学年学期，学年：202</w:t>
      </w:r>
      <w:r>
        <w:rPr>
          <w:rFonts w:hint="eastAsia" w:ascii="宋体" w:hAnsi="宋体"/>
          <w:color w:val="auto"/>
          <w:szCs w:val="21"/>
          <w:highlight w:val="none"/>
          <w:lang w:val="en-US" w:eastAsia="zh-CN"/>
        </w:rPr>
        <w:t>6</w:t>
      </w:r>
      <w:r>
        <w:rPr>
          <w:rFonts w:hint="eastAsia" w:ascii="宋体" w:hAnsi="宋体"/>
          <w:color w:val="auto"/>
          <w:szCs w:val="21"/>
          <w:highlight w:val="none"/>
        </w:rPr>
        <w:t>-202</w:t>
      </w:r>
      <w:r>
        <w:rPr>
          <w:rFonts w:hint="eastAsia" w:ascii="宋体" w:hAnsi="宋体"/>
          <w:color w:val="auto"/>
          <w:szCs w:val="21"/>
          <w:highlight w:val="none"/>
          <w:lang w:val="en-US" w:eastAsia="zh-CN"/>
        </w:rPr>
        <w:t>7</w:t>
      </w:r>
      <w:r>
        <w:rPr>
          <w:rFonts w:hint="eastAsia" w:ascii="宋体" w:hAnsi="宋体"/>
          <w:color w:val="auto"/>
          <w:szCs w:val="21"/>
          <w:highlight w:val="none"/>
        </w:rPr>
        <w:t>，学期：</w:t>
      </w:r>
      <w:r>
        <w:rPr>
          <w:rFonts w:hint="eastAsia" w:ascii="宋体" w:hAnsi="宋体"/>
          <w:color w:val="auto"/>
          <w:szCs w:val="21"/>
          <w:highlight w:val="none"/>
          <w:lang w:val="en-US" w:eastAsia="zh-CN"/>
        </w:rPr>
        <w:t>1</w:t>
      </w:r>
      <w:r>
        <w:rPr>
          <w:rFonts w:hint="eastAsia" w:ascii="宋体" w:hAnsi="宋体"/>
          <w:color w:val="auto"/>
          <w:szCs w:val="21"/>
          <w:highlight w:val="none"/>
        </w:rPr>
        <w:t>，在“课程”中输入需要指定教材的课程，点击“查询”，就会出现该门课程的所有任务信息列表，如下图所示。</w:t>
      </w:r>
      <w:r>
        <w:rPr>
          <w:rFonts w:hint="eastAsia" w:ascii="宋体" w:hAnsi="宋体"/>
          <w:color w:val="auto"/>
          <w:szCs w:val="21"/>
          <w:highlight w:val="none"/>
        </w:rPr>
        <w:drawing>
          <wp:inline distT="0" distB="0" distL="0" distR="0">
            <wp:extent cx="5264150" cy="214630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3"/>
                    <a:srcRect/>
                    <a:stretch>
                      <a:fillRect/>
                    </a:stretch>
                  </pic:blipFill>
                  <pic:spPr>
                    <a:xfrm>
                      <a:off x="0" y="0"/>
                      <a:ext cx="5264150" cy="2146300"/>
                    </a:xfrm>
                    <a:prstGeom prst="rect">
                      <a:avLst/>
                    </a:prstGeom>
                    <a:noFill/>
                    <a:ln w="9525">
                      <a:noFill/>
                      <a:miter lim="800000"/>
                      <a:headEnd/>
                      <a:tailEnd/>
                    </a:ln>
                  </pic:spPr>
                </pic:pic>
              </a:graphicData>
            </a:graphic>
          </wp:inline>
        </w:drawing>
      </w:r>
    </w:p>
    <w:p w14:paraId="3BFCA608">
      <w:pPr>
        <w:spacing w:line="360" w:lineRule="auto"/>
        <w:ind w:firstLine="420" w:firstLineChars="200"/>
        <w:rPr>
          <w:rFonts w:ascii="宋体" w:hAnsi="宋体"/>
          <w:b/>
          <w:color w:val="auto"/>
          <w:szCs w:val="21"/>
          <w:highlight w:val="none"/>
        </w:rPr>
      </w:pPr>
      <w:r>
        <w:rPr>
          <w:rFonts w:hint="eastAsia" w:ascii="宋体" w:hAnsi="宋体"/>
          <w:color w:val="auto"/>
          <w:szCs w:val="21"/>
          <w:highlight w:val="none"/>
        </w:rPr>
        <w:t>可以选择其中一条任务指定教材，点击“增加”，在“教材名称”中输入教材名称，然后在教材库中选中所需教材，再点击“保存草稿”。如果在教材库中未找到指定教材，可以在“新增教材”中，选择“添加教材”，之后点击</w:t>
      </w:r>
      <w:r>
        <w:rPr>
          <w:rFonts w:hint="eastAsia" w:ascii="宋体" w:hAnsi="宋体"/>
          <w:b/>
          <w:color w:val="auto"/>
          <w:szCs w:val="21"/>
          <w:highlight w:val="none"/>
        </w:rPr>
        <w:t>“保存草稿”</w:t>
      </w:r>
      <w:r>
        <w:rPr>
          <w:rFonts w:hint="eastAsia" w:ascii="宋体" w:hAnsi="宋体"/>
          <w:color w:val="auto"/>
          <w:szCs w:val="21"/>
          <w:highlight w:val="none"/>
        </w:rPr>
        <w:t>，如下图所示。也可以对多条或全部任务批量指定教材。</w:t>
      </w:r>
      <w:r>
        <w:rPr>
          <w:rFonts w:hint="eastAsia" w:ascii="宋体" w:hAnsi="宋体"/>
          <w:b/>
          <w:color w:val="auto"/>
          <w:szCs w:val="21"/>
          <w:highlight w:val="none"/>
        </w:rPr>
        <w:t>不要点击“提交申请”，点击“提交申请”后不能修改任务教材。</w:t>
      </w:r>
    </w:p>
    <w:p w14:paraId="444FBAE2">
      <w:pPr>
        <w:spacing w:line="360" w:lineRule="auto"/>
        <w:ind w:firstLine="422" w:firstLineChars="200"/>
        <w:rPr>
          <w:rFonts w:ascii="宋体" w:hAnsi="宋体"/>
          <w:b/>
          <w:color w:val="auto"/>
          <w:szCs w:val="21"/>
          <w:highlight w:val="none"/>
          <w:u w:val="none"/>
        </w:rPr>
      </w:pPr>
      <w:r>
        <w:rPr>
          <w:rFonts w:hint="eastAsia" w:ascii="宋体" w:hAnsi="宋体"/>
          <w:b/>
          <w:color w:val="auto"/>
          <w:szCs w:val="21"/>
          <w:highlight w:val="none"/>
          <w:u w:val="none"/>
        </w:rPr>
        <w:t>注意：同一课程代码的同一门课程，教材使用必须相同。</w:t>
      </w:r>
    </w:p>
    <w:p w14:paraId="7FE40020">
      <w:pPr>
        <w:spacing w:line="480" w:lineRule="auto"/>
        <w:rPr>
          <w:rFonts w:ascii="宋体" w:hAnsi="宋体"/>
          <w:color w:val="auto"/>
          <w:szCs w:val="21"/>
          <w:highlight w:val="none"/>
        </w:rPr>
      </w:pPr>
      <w:r>
        <w:rPr>
          <w:rFonts w:hint="eastAsia" w:ascii="宋体" w:hAnsi="宋体"/>
          <w:color w:val="auto"/>
          <w:szCs w:val="21"/>
          <w:highlight w:val="none"/>
        </w:rPr>
        <w:drawing>
          <wp:inline distT="0" distB="0" distL="0" distR="0">
            <wp:extent cx="5270500" cy="2940050"/>
            <wp:effectExtent l="1905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srcRect/>
                    <a:stretch>
                      <a:fillRect/>
                    </a:stretch>
                  </pic:blipFill>
                  <pic:spPr>
                    <a:xfrm>
                      <a:off x="0" y="0"/>
                      <a:ext cx="5270500" cy="2940050"/>
                    </a:xfrm>
                    <a:prstGeom prst="rect">
                      <a:avLst/>
                    </a:prstGeom>
                    <a:noFill/>
                    <a:ln w="9525">
                      <a:noFill/>
                      <a:miter lim="800000"/>
                      <a:headEnd/>
                      <a:tailEnd/>
                    </a:ln>
                  </pic:spPr>
                </pic:pic>
              </a:graphicData>
            </a:graphic>
          </wp:inline>
        </w:drawing>
      </w:r>
    </w:p>
    <w:p w14:paraId="1CFAF422">
      <w:pPr>
        <w:spacing w:line="480" w:lineRule="auto"/>
        <w:rPr>
          <w:rFonts w:ascii="宋体" w:hAnsi="宋体"/>
          <w:color w:val="auto"/>
          <w:szCs w:val="21"/>
          <w:highlight w:val="none"/>
        </w:rPr>
      </w:pPr>
      <w:r>
        <w:rPr>
          <w:rFonts w:hint="eastAsia"/>
          <w:color w:val="auto"/>
          <w:highlight w:val="none"/>
        </w:rPr>
        <w:t xml:space="preserve">    </w:t>
      </w:r>
      <w:r>
        <w:rPr>
          <w:rFonts w:hint="eastAsia" w:ascii="宋体" w:hAnsi="宋体"/>
          <w:color w:val="auto"/>
          <w:szCs w:val="21"/>
          <w:highlight w:val="none"/>
        </w:rPr>
        <w:t>（8）任务落实后查询导出</w:t>
      </w:r>
    </w:p>
    <w:p w14:paraId="781142F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教学计划管理——任务落实查询，选择开课部门，点击查询，导出。</w:t>
      </w:r>
    </w:p>
    <w:p w14:paraId="1CF25177">
      <w:pPr>
        <w:spacing w:line="480" w:lineRule="auto"/>
        <w:rPr>
          <w:rFonts w:ascii="宋体" w:hAnsi="宋体"/>
          <w:color w:val="auto"/>
          <w:szCs w:val="21"/>
          <w:highlight w:val="none"/>
        </w:rPr>
      </w:pPr>
      <w:r>
        <w:rPr>
          <w:rFonts w:ascii="宋体" w:hAnsi="宋体"/>
          <w:color w:val="auto"/>
          <w:szCs w:val="21"/>
          <w:highlight w:val="none"/>
        </w:rPr>
        <w:drawing>
          <wp:inline distT="0" distB="0" distL="0" distR="0">
            <wp:extent cx="5276850" cy="3060700"/>
            <wp:effectExtent l="19050" t="0" r="0" b="0"/>
            <wp:docPr id="1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9"/>
                    <pic:cNvPicPr>
                      <a:picLocks noChangeAspect="1" noChangeArrowheads="1"/>
                    </pic:cNvPicPr>
                  </pic:nvPicPr>
                  <pic:blipFill>
                    <a:blip r:embed="rId15"/>
                    <a:srcRect/>
                    <a:stretch>
                      <a:fillRect/>
                    </a:stretch>
                  </pic:blipFill>
                  <pic:spPr>
                    <a:xfrm>
                      <a:off x="0" y="0"/>
                      <a:ext cx="5276850" cy="3060700"/>
                    </a:xfrm>
                    <a:prstGeom prst="rect">
                      <a:avLst/>
                    </a:prstGeom>
                    <a:noFill/>
                    <a:ln w="9525">
                      <a:noFill/>
                      <a:miter lim="800000"/>
                      <a:headEnd/>
                      <a:tailEnd/>
                    </a:ln>
                  </pic:spPr>
                </pic:pic>
              </a:graphicData>
            </a:graphic>
          </wp:inline>
        </w:drawing>
      </w:r>
    </w:p>
    <w:p w14:paraId="2B9BDC2F">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4.公共体育课、思政理论课和外语类模块课，教学任务落实的操作流程详见《附件：关于落实202</w:t>
      </w:r>
      <w:r>
        <w:rPr>
          <w:rFonts w:hint="eastAsia" w:ascii="宋体" w:hAnsi="宋体"/>
          <w:color w:val="auto"/>
          <w:szCs w:val="21"/>
          <w:highlight w:val="none"/>
          <w:lang w:val="en-US" w:eastAsia="zh-CN"/>
        </w:rPr>
        <w:t>6</w:t>
      </w:r>
      <w:r>
        <w:rPr>
          <w:rFonts w:hint="eastAsia" w:ascii="宋体" w:hAnsi="宋体"/>
          <w:color w:val="auto"/>
          <w:szCs w:val="21"/>
          <w:highlight w:val="none"/>
        </w:rPr>
        <w:t>-202</w:t>
      </w:r>
      <w:r>
        <w:rPr>
          <w:rFonts w:hint="eastAsia" w:ascii="宋体" w:hAnsi="宋体"/>
          <w:color w:val="auto"/>
          <w:szCs w:val="21"/>
          <w:highlight w:val="none"/>
          <w:lang w:val="en-US" w:eastAsia="zh-CN"/>
        </w:rPr>
        <w:t>7</w:t>
      </w:r>
      <w:r>
        <w:rPr>
          <w:rFonts w:hint="eastAsia" w:ascii="宋体" w:hAnsi="宋体"/>
          <w:color w:val="auto"/>
          <w:szCs w:val="21"/>
          <w:highlight w:val="none"/>
        </w:rPr>
        <w:t>学年第</w:t>
      </w:r>
      <w:r>
        <w:rPr>
          <w:rFonts w:hint="eastAsia" w:ascii="宋体" w:hAnsi="宋体"/>
          <w:color w:val="auto"/>
          <w:szCs w:val="21"/>
          <w:highlight w:val="none"/>
          <w:lang w:val="en-US" w:eastAsia="zh-CN"/>
        </w:rPr>
        <w:t>一</w:t>
      </w:r>
      <w:r>
        <w:rPr>
          <w:rFonts w:hint="eastAsia" w:ascii="宋体" w:hAnsi="宋体"/>
          <w:color w:val="auto"/>
          <w:szCs w:val="21"/>
          <w:highlight w:val="none"/>
        </w:rPr>
        <w:t>学期体育课、思政理论课和外语类模块课教学任务的通知》。</w:t>
      </w:r>
    </w:p>
    <w:p w14:paraId="38CF2961">
      <w:pPr>
        <w:spacing w:line="360" w:lineRule="auto"/>
        <w:jc w:val="right"/>
        <w:rPr>
          <w:rFonts w:ascii="宋体" w:hAnsi="宋体"/>
          <w:color w:val="auto"/>
          <w:szCs w:val="21"/>
          <w:highlight w:val="none"/>
        </w:rPr>
      </w:pPr>
      <w:r>
        <w:rPr>
          <w:rFonts w:hint="eastAsia" w:ascii="宋体" w:hAnsi="宋体"/>
          <w:color w:val="auto"/>
          <w:szCs w:val="21"/>
          <w:highlight w:val="none"/>
        </w:rPr>
        <w:t xml:space="preserve">                                                             教务处教学运行中心</w:t>
      </w:r>
    </w:p>
    <w:p w14:paraId="10641907">
      <w:pPr>
        <w:spacing w:line="360" w:lineRule="auto"/>
        <w:jc w:val="right"/>
        <w:rPr>
          <w:rFonts w:ascii="宋体" w:hAnsi="宋体"/>
          <w:color w:val="auto"/>
          <w:szCs w:val="21"/>
          <w:highlight w:val="none"/>
        </w:rPr>
      </w:pPr>
      <w:r>
        <w:rPr>
          <w:rFonts w:hint="eastAsia" w:ascii="宋体" w:hAnsi="宋体"/>
          <w:color w:val="auto"/>
          <w:szCs w:val="21"/>
          <w:highlight w:val="none"/>
        </w:rPr>
        <w:t xml:space="preserve">                                     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5</w:t>
      </w:r>
      <w:r>
        <w:rPr>
          <w:rFonts w:hint="eastAsia" w:ascii="宋体" w:hAnsi="宋体"/>
          <w:color w:val="auto"/>
          <w:szCs w:val="21"/>
          <w:highlight w:val="none"/>
        </w:rPr>
        <w:t>月</w:t>
      </w:r>
      <w:r>
        <w:rPr>
          <w:rFonts w:hint="eastAsia" w:ascii="宋体" w:hAnsi="宋体"/>
          <w:color w:val="auto"/>
          <w:szCs w:val="21"/>
          <w:highlight w:val="none"/>
          <w:lang w:val="en-US" w:eastAsia="zh-CN"/>
        </w:rPr>
        <w:t>13</w:t>
      </w:r>
      <w:r>
        <w:rPr>
          <w:rFonts w:hint="eastAsia" w:ascii="宋体" w:hAnsi="宋体"/>
          <w:color w:val="auto"/>
          <w:szCs w:val="21"/>
          <w:highlight w:val="none"/>
        </w:rPr>
        <w:t>日</w:t>
      </w:r>
    </w:p>
    <w:p w14:paraId="3852E6C5">
      <w:pPr>
        <w:rPr>
          <w:color w:val="auto"/>
          <w:highlight w:val="none"/>
        </w:rPr>
      </w:pPr>
    </w:p>
    <w:p w14:paraId="5E5A6F0A">
      <w:pPr>
        <w:rPr>
          <w:color w:val="auto"/>
          <w:highlight w:val="none"/>
        </w:rPr>
      </w:pPr>
    </w:p>
    <w:p w14:paraId="4CB0B229">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D07CC5"/>
    <w:rsid w:val="000C34D1"/>
    <w:rsid w:val="0072292B"/>
    <w:rsid w:val="00CA472D"/>
    <w:rsid w:val="00CD4AFD"/>
    <w:rsid w:val="00D07CC5"/>
    <w:rsid w:val="01593653"/>
    <w:rsid w:val="047A1157"/>
    <w:rsid w:val="04BF1990"/>
    <w:rsid w:val="06270265"/>
    <w:rsid w:val="08626C5A"/>
    <w:rsid w:val="0A19329A"/>
    <w:rsid w:val="0E9A6754"/>
    <w:rsid w:val="0F88122F"/>
    <w:rsid w:val="184967A5"/>
    <w:rsid w:val="1B1E2FBC"/>
    <w:rsid w:val="1D287463"/>
    <w:rsid w:val="335C0FF7"/>
    <w:rsid w:val="33B731A7"/>
    <w:rsid w:val="34080078"/>
    <w:rsid w:val="3A971EE4"/>
    <w:rsid w:val="45BF4EEF"/>
    <w:rsid w:val="48152D27"/>
    <w:rsid w:val="4E096625"/>
    <w:rsid w:val="51A70B72"/>
    <w:rsid w:val="54ED305E"/>
    <w:rsid w:val="561A6502"/>
    <w:rsid w:val="5F9409E5"/>
    <w:rsid w:val="621E0449"/>
    <w:rsid w:val="642B3519"/>
    <w:rsid w:val="652158B7"/>
    <w:rsid w:val="6BEE37AA"/>
    <w:rsid w:val="6FF818D2"/>
    <w:rsid w:val="724C4D86"/>
    <w:rsid w:val="7330460D"/>
    <w:rsid w:val="736B076F"/>
    <w:rsid w:val="74157F65"/>
    <w:rsid w:val="77260A6A"/>
    <w:rsid w:val="795B13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8">
    <w:name w:val="批注框文本 字符"/>
    <w:basedOn w:val="6"/>
    <w:link w:val="2"/>
    <w:semiHidden/>
    <w:qFormat/>
    <w:uiPriority w:val="99"/>
    <w:rPr>
      <w:rFonts w:ascii="Times New Roman" w:hAnsi="Times New Roman" w:eastAsia="宋体" w:cs="Times New Roman"/>
      <w:sz w:val="18"/>
      <w:szCs w:val="18"/>
    </w:rPr>
  </w:style>
  <w:style w:type="character" w:customStyle="1" w:styleId="9">
    <w:name w:val="页眉 字符"/>
    <w:basedOn w:val="6"/>
    <w:link w:val="4"/>
    <w:qFormat/>
    <w:uiPriority w:val="99"/>
    <w:rPr>
      <w:rFonts w:ascii="Times New Roman" w:hAnsi="Times New Roman" w:eastAsia="宋体" w:cs="Times New Roman"/>
      <w:sz w:val="18"/>
      <w:szCs w:val="18"/>
    </w:rPr>
  </w:style>
  <w:style w:type="character" w:customStyle="1" w:styleId="10">
    <w:name w:val="页脚 字符"/>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8</Pages>
  <Words>2915</Words>
  <Characters>3069</Characters>
  <Lines>22</Lines>
  <Paragraphs>6</Paragraphs>
  <TotalTime>37</TotalTime>
  <ScaleCrop>false</ScaleCrop>
  <LinksUpToDate>false</LinksUpToDate>
  <CharactersWithSpaces>3180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2025-02-06T02:48:00Z</dcterms:created>
  <dc:creator>Windows 用户</dc:creator>
  <cp:lastModifiedBy>李春红</cp:lastModifiedBy>
  <dcterms:modified xsi:type="dcterms:W3CDTF">2026-05-13T07:31:14Z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eyJoZGlkIjoiMmViZmE0YmUwMmZjNWUxNjY1NzE3ODhhM2E2NjhjYWUiLCJ1c2VySWQiOiIxMDI0NjA4MzExIn0=</vt:lpwstr>
  </property>
  <property fmtid="{D5CDD505-2E9C-101B-9397-08002B2CF9AE}" pid="3" name="KSOProductBuildVer">
    <vt:lpwstr>2052-12.1.0.25865</vt:lpwstr>
  </property>
  <property fmtid="{D5CDD505-2E9C-101B-9397-08002B2CF9AE}" pid="4" name="ICV">
    <vt:lpwstr>0F30A6820A454117A05F4BC36EC11486_12</vt:lpwstr>
  </property>
</Properties>
</file>