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</w:p>
    <w:tbl>
      <w:tblPr>
        <w:tblStyle w:val="2"/>
        <w:tblW w:w="8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508"/>
        <w:gridCol w:w="665"/>
        <w:gridCol w:w="577"/>
        <w:gridCol w:w="3253"/>
        <w:gridCol w:w="839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2024年大学生新文科实践创新大赛校赛成绩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（理论型）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24103530057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项叶萌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网暴共治，分类有道：情境预防视角下网络暴力信息风险治理路径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24103530063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文学、历史学、哲学类专业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数字经济时代网络“薅羊毛”行为司法规制进路探索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24103530062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“标兴地益”：地理标志公益诉讼的路径审视与构建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高旗阳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乘民意之风，扬枫桥之帆：枫桥式工作法何以领航法治新时代？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24103530056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青年助力乡村振兴，人才为基，共创助农之路——以宁夏海原为例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许凯伟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食品安全国家标准对水产养殖企业绿色转型的影响研究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24103530050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徐开宇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四治融合：共享法庭助力基层社会治理发展的路径研究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文学、历史学、哲学类专业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郭笑彤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博物万象共脉息，广识方俗同自信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张沁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智链云枢：工业互联网平台向产业大脑的蝶变路径研究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24103530037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金欣烨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代际传播视角下乡村博物馆的 价值阐释与活化研究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文学、历史学、哲学类专业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钟林慧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“焕新文博 ”：博物馆数字化建设对策优化研究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24103530058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文学、历史学、哲学类专业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陈边垚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传统村落“新媒体+”活化机制研究——基于30个传统村落分析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24103530031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王慧珍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“共享法庭+市场化解纷”协同机制的现状检视与路径优化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刘芸言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以体助长以教筑路——双减政策下“体教融合”落实分析及路径优化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杨依珊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鲜味市云集，海产遇新机：海鲜消费市场何以乘“新”破浪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24103530069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董一麟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新质共创，内生共荣：共富联合体下乡村新质生产内生动力培育探究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文学、历史学、哲学类专业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潘梦渝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微“盐”大义——钱塘盐业文化资源调查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</w:p>
    <w:p>
      <w:pPr>
        <w:spacing w:line="317" w:lineRule="auto"/>
      </w:pPr>
    </w:p>
    <w:tbl>
      <w:tblPr>
        <w:tblStyle w:val="2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374"/>
        <w:gridCol w:w="801"/>
        <w:gridCol w:w="905"/>
        <w:gridCol w:w="2575"/>
        <w:gridCol w:w="858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2024年大学生新文科实践创新大赛校赛成绩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（应用型）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负责人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24103530035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王益天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以阶梯式天气衍生品为核心的油菜风险管理方案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24103530028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柴闻祺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七载金改行，绿转启金回：转型金融视阈下湖州绿贷模式的数智蝶变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24103530061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高俊豪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视感视融科技—智能助盲产品领航者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24103530002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厉宇焕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智宠科技——创新肽类技术的药膳养生开拓者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24103530003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泮昊桢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斛启未来——农业新质生产力赋能石斛腾飞的践行者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黄雅琪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“她”力共富： 浙江省杭宁绍185家巾帼共富工坊的实践研究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24103530014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新业态下数字技术伦理风险及化解路径研究—基于网约车司机的调查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24103530054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倪茵能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凤引时空，共叙畲+——郎村畲族特色研学课程设计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24103530047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方淳阳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云眸视界—基于自研点云技术与激光雷达手机视障出行辅助平台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24103530038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梅蓉村土地解析与空间规划：公共空间更新与国土规划融合实践探索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24103530044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叶晨晨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念好养牛“金”，“犇”向共富路——肉牛产业综合性金融服务方案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24103530029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“卫”你而来，护你无忧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24103530067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饶瑞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以爱为眼——青年助力幸福旅游新视界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24103530045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艺术学类专业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五鹤展竹海，竹屋游五洲——五鹤村可持续竹乡文化推介会策划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023BE"/>
    <w:rsid w:val="35A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2024-11-20T09:16:00Z</dcterms:created>
  <dc:creator>马东梅</dc:creator>
  <cp:lastModifiedBy>马东梅</cp:lastModifiedBy>
  <dcterms:modified xsi:type="dcterms:W3CDTF">2024-11-20T09:17:12Z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