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D2942">
      <w:pPr>
        <w:ind w:left="0" w:leftChars="0" w:firstLine="0" w:firstLineChars="0"/>
        <w:jc w:val="left"/>
      </w:pPr>
      <w:r>
        <w:drawing>
          <wp:anchor distT="0" distB="0" distL="114300" distR="114300" simplePos="0" relativeHeight="251660288" behindDoc="0" locked="0" layoutInCell="1" allowOverlap="1">
            <wp:simplePos x="0" y="0"/>
            <wp:positionH relativeFrom="column">
              <wp:posOffset>1656715</wp:posOffset>
            </wp:positionH>
            <wp:positionV relativeFrom="paragraph">
              <wp:posOffset>100330</wp:posOffset>
            </wp:positionV>
            <wp:extent cx="1955800" cy="1789430"/>
            <wp:effectExtent l="0" t="0" r="10160" b="889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955800" cy="1789430"/>
                    </a:xfrm>
                    <a:prstGeom prst="rect">
                      <a:avLst/>
                    </a:prstGeom>
                    <a:noFill/>
                    <a:ln>
                      <a:noFill/>
                    </a:ln>
                  </pic:spPr>
                </pic:pic>
              </a:graphicData>
            </a:graphic>
          </wp:anchor>
        </w:drawing>
      </w:r>
    </w:p>
    <w:p w14:paraId="37545973">
      <w:pPr>
        <w:ind w:left="0" w:leftChars="0" w:firstLine="0" w:firstLineChars="0"/>
        <w:jc w:val="left"/>
      </w:pPr>
    </w:p>
    <w:p w14:paraId="47F3A6C9">
      <w:pPr>
        <w:ind w:left="0" w:leftChars="0" w:firstLine="0" w:firstLineChars="0"/>
        <w:jc w:val="left"/>
      </w:pPr>
    </w:p>
    <w:p w14:paraId="26607AC3">
      <w:pPr>
        <w:ind w:left="0" w:leftChars="0" w:firstLine="0" w:firstLineChars="0"/>
        <w:jc w:val="left"/>
      </w:pPr>
    </w:p>
    <w:p w14:paraId="7E5522C9">
      <w:pPr>
        <w:ind w:left="0" w:leftChars="0" w:firstLine="0" w:firstLineChars="0"/>
        <w:jc w:val="left"/>
      </w:pPr>
    </w:p>
    <w:p w14:paraId="3E6F3247">
      <w:pPr>
        <w:ind w:left="0" w:leftChars="0" w:firstLine="0" w:firstLineChars="0"/>
        <w:jc w:val="left"/>
      </w:pPr>
    </w:p>
    <w:p w14:paraId="03A44005">
      <w:pPr>
        <w:spacing w:beforeLines="50" w:afterLines="50" w:line="360" w:lineRule="auto"/>
        <w:ind w:firstLine="0" w:firstLineChars="0"/>
        <w:jc w:val="center"/>
        <w:outlineLvl w:val="0"/>
        <w:rPr>
          <w:rFonts w:hint="eastAsia" w:ascii="宋体" w:hAnsi="宋体" w:eastAsia="宋体" w:cs="宋体"/>
          <w:b/>
          <w:sz w:val="72"/>
          <w:szCs w:val="72"/>
        </w:rPr>
      </w:pPr>
      <w:r>
        <w:rPr>
          <w:rFonts w:hint="eastAsia" w:ascii="华文行楷" w:hAnsi="华文行楷" w:eastAsia="华文行楷" w:cs="华文行楷"/>
          <w:sz w:val="84"/>
          <w:szCs w:val="84"/>
          <w:lang w:val="en-US" w:eastAsia="zh-CN"/>
        </w:rPr>
        <w:t>浙江工商大学</w:t>
      </w:r>
    </w:p>
    <w:p w14:paraId="3AA47D29">
      <w:pPr>
        <w:spacing w:beforeLines="50" w:afterLines="50" w:line="360" w:lineRule="auto"/>
        <w:ind w:firstLine="0" w:firstLineChars="0"/>
        <w:jc w:val="center"/>
        <w:outlineLvl w:val="0"/>
        <w:rPr>
          <w:rFonts w:hint="eastAsia" w:ascii="宋体" w:hAnsi="宋体" w:eastAsia="宋体" w:cs="宋体"/>
          <w:b/>
          <w:sz w:val="72"/>
          <w:szCs w:val="72"/>
        </w:rPr>
      </w:pPr>
      <w:r>
        <w:rPr>
          <w:rFonts w:hint="eastAsia" w:ascii="宋体" w:hAnsi="宋体" w:eastAsia="宋体" w:cs="宋体"/>
          <w:b/>
          <w:sz w:val="72"/>
          <w:szCs w:val="72"/>
        </w:rPr>
        <w:t>本科</w:t>
      </w:r>
      <w:r>
        <w:rPr>
          <w:rFonts w:hint="eastAsia" w:ascii="宋体" w:hAnsi="宋体" w:eastAsia="宋体" w:cs="宋体"/>
          <w:b/>
          <w:sz w:val="72"/>
          <w:szCs w:val="72"/>
          <w:lang w:val="en-US" w:eastAsia="zh-CN"/>
        </w:rPr>
        <w:t>教育</w:t>
      </w:r>
      <w:r>
        <w:rPr>
          <w:rFonts w:hint="eastAsia" w:ascii="宋体" w:hAnsi="宋体" w:eastAsia="宋体" w:cs="宋体"/>
          <w:b/>
          <w:sz w:val="72"/>
          <w:szCs w:val="72"/>
        </w:rPr>
        <w:t>教学审核评估</w:t>
      </w:r>
    </w:p>
    <w:p w14:paraId="45760BF7">
      <w:pPr>
        <w:spacing w:beforeLines="50" w:afterLines="50" w:line="360" w:lineRule="auto"/>
        <w:ind w:firstLine="0" w:firstLineChars="0"/>
        <w:jc w:val="center"/>
        <w:outlineLvl w:val="0"/>
        <w:rPr>
          <w:rFonts w:hint="eastAsia" w:ascii="宋体" w:hAnsi="宋体" w:eastAsia="宋体" w:cs="宋体"/>
          <w:b/>
          <w:sz w:val="72"/>
          <w:szCs w:val="72"/>
        </w:rPr>
      </w:pPr>
      <w:r>
        <w:rPr>
          <w:rFonts w:hint="eastAsia" w:ascii="宋体" w:hAnsi="宋体" w:eastAsia="宋体" w:cs="宋体"/>
          <w:b/>
          <w:sz w:val="72"/>
          <w:szCs w:val="72"/>
          <w:u w:val="single"/>
          <w:lang w:val="en-US" w:eastAsia="zh-CN"/>
        </w:rPr>
        <w:t xml:space="preserve">      </w:t>
      </w:r>
      <w:r>
        <w:rPr>
          <w:rFonts w:hint="eastAsia" w:ascii="宋体" w:hAnsi="宋体" w:eastAsia="宋体" w:cs="宋体"/>
          <w:b/>
          <w:sz w:val="72"/>
          <w:szCs w:val="72"/>
        </w:rPr>
        <w:t>学院</w:t>
      </w:r>
    </w:p>
    <w:p w14:paraId="606B4A98">
      <w:pPr>
        <w:spacing w:beforeLines="50" w:afterLines="50" w:line="360" w:lineRule="auto"/>
        <w:ind w:firstLine="0" w:firstLineChars="0"/>
        <w:jc w:val="center"/>
        <w:outlineLvl w:val="0"/>
        <w:rPr>
          <w:b/>
          <w:sz w:val="72"/>
          <w:szCs w:val="72"/>
        </w:rPr>
      </w:pPr>
      <w:r>
        <w:rPr>
          <w:rFonts w:hint="eastAsia" w:ascii="宋体" w:hAnsi="宋体" w:eastAsia="宋体" w:cs="宋体"/>
          <w:b/>
          <w:sz w:val="72"/>
          <w:szCs w:val="72"/>
        </w:rPr>
        <w:t>自评报告</w:t>
      </w:r>
    </w:p>
    <w:p w14:paraId="211219A3">
      <w:pPr>
        <w:spacing w:beforeLines="50" w:afterLines="50" w:line="360" w:lineRule="auto"/>
        <w:ind w:left="0" w:leftChars="0" w:firstLine="0" w:firstLineChars="0"/>
        <w:jc w:val="center"/>
        <w:rPr>
          <w:sz w:val="84"/>
          <w:szCs w:val="84"/>
        </w:rPr>
      </w:pPr>
      <w:r>
        <w:rPr>
          <w:rFonts w:hint="eastAsia" w:ascii="Times New Roman" w:hAnsi="Times New Roman" w:eastAsia="楷体_GB2312" w:cs="黑体"/>
          <w:color w:val="000000"/>
          <w:kern w:val="0"/>
          <w:szCs w:val="32"/>
        </w:rPr>
        <w:t>（</w:t>
      </w:r>
      <w:r>
        <w:rPr>
          <w:rFonts w:hint="eastAsia" w:ascii="Times New Roman" w:hAnsi="Times New Roman" w:eastAsia="楷体_GB2312"/>
          <w:b/>
          <w:bCs/>
        </w:rPr>
        <w:t>第二类第一种</w:t>
      </w:r>
      <w:r>
        <w:rPr>
          <w:rFonts w:hint="eastAsia" w:ascii="Times New Roman" w:hAnsi="Times New Roman" w:eastAsia="楷体_GB2312" w:cs="黑体"/>
          <w:color w:val="000000"/>
          <w:kern w:val="0"/>
          <w:szCs w:val="32"/>
        </w:rPr>
        <w:t>）</w:t>
      </w:r>
    </w:p>
    <w:p w14:paraId="406060D3">
      <w:pPr>
        <w:spacing w:beforeLines="50" w:afterLines="50" w:line="360" w:lineRule="auto"/>
        <w:jc w:val="center"/>
        <w:rPr>
          <w:sz w:val="84"/>
          <w:szCs w:val="84"/>
        </w:rPr>
      </w:pPr>
    </w:p>
    <w:p w14:paraId="3367A375">
      <w:pPr>
        <w:pStyle w:val="5"/>
        <w:spacing w:line="312" w:lineRule="auto"/>
        <w:rPr>
          <w:rFonts w:ascii="Times New Roman" w:hAnsi="Times New Roman" w:eastAsia="宋体"/>
          <w:b/>
          <w:color w:val="000000"/>
          <w:sz w:val="30"/>
          <w:szCs w:val="30"/>
        </w:rPr>
      </w:pPr>
      <w:r>
        <w:rPr>
          <w:rFonts w:hint="eastAsia" w:ascii="Times New Roman" w:hAnsi="Times New Roman" w:eastAsia="宋体"/>
          <w:b/>
          <w:color w:val="000000"/>
          <w:sz w:val="30"/>
          <w:szCs w:val="30"/>
        </w:rPr>
        <w:t>主要执笔人（签名）：</w:t>
      </w:r>
    </w:p>
    <w:p w14:paraId="24EE38D6">
      <w:pPr>
        <w:spacing w:beforeLines="50" w:afterLines="50" w:line="360" w:lineRule="auto"/>
        <w:jc w:val="both"/>
        <w:rPr>
          <w:sz w:val="84"/>
          <w:szCs w:val="84"/>
        </w:rPr>
      </w:pPr>
      <w:r>
        <w:rPr>
          <w:rFonts w:hint="eastAsia" w:ascii="Times New Roman" w:hAnsi="Times New Roman" w:eastAsia="宋体"/>
          <w:b/>
          <w:color w:val="000000"/>
          <w:sz w:val="30"/>
          <w:szCs w:val="30"/>
        </w:rPr>
        <w:t>学院评建工作组组长（签名、学院公章）</w:t>
      </w:r>
      <w:r>
        <w:rPr>
          <w:rFonts w:ascii="Times New Roman" w:hAnsi="Times New Roman" w:eastAsia="宋体"/>
          <w:b/>
          <w:color w:val="000000"/>
          <w:sz w:val="30"/>
          <w:szCs w:val="30"/>
        </w:rPr>
        <w:t>：</w:t>
      </w:r>
    </w:p>
    <w:p w14:paraId="27F2B89A">
      <w:pPr>
        <w:spacing w:beforeLines="50" w:afterLines="50" w:line="360" w:lineRule="auto"/>
        <w:ind w:left="0" w:leftChars="0" w:firstLine="0" w:firstLineChars="0"/>
        <w:jc w:val="center"/>
        <w:rPr>
          <w:rFonts w:ascii="Times New Roman" w:hAnsi="Times New Roman" w:cs="Times New Roman"/>
          <w:b/>
          <w:sz w:val="44"/>
          <w:szCs w:val="44"/>
        </w:rPr>
      </w:pPr>
    </w:p>
    <w:p w14:paraId="44C1FC4F">
      <w:pPr>
        <w:spacing w:beforeLines="50" w:afterLines="50" w:line="360" w:lineRule="auto"/>
        <w:ind w:left="0" w:leftChars="0" w:firstLine="0" w:firstLineChars="0"/>
        <w:jc w:val="center"/>
        <w:rPr>
          <w:rFonts w:ascii="Times New Roman" w:cs="Times New Roman"/>
          <w:b/>
          <w:sz w:val="44"/>
          <w:szCs w:val="44"/>
        </w:rPr>
      </w:pPr>
      <w:r>
        <w:rPr>
          <w:rFonts w:ascii="Times New Roman" w:hAnsi="Times New Roman" w:cs="Times New Roman"/>
          <w:b/>
          <w:sz w:val="44"/>
          <w:szCs w:val="44"/>
        </w:rPr>
        <w:t>20</w:t>
      </w:r>
      <w:r>
        <w:rPr>
          <w:rFonts w:hint="eastAsia" w:ascii="Times New Roman" w:hAnsi="Times New Roman" w:cs="Times New Roman"/>
          <w:b/>
          <w:sz w:val="44"/>
          <w:szCs w:val="44"/>
          <w:lang w:val="en-US" w:eastAsia="zh-CN"/>
        </w:rPr>
        <w:t>25</w:t>
      </w:r>
      <w:r>
        <w:rPr>
          <w:rFonts w:ascii="Times New Roman" w:cs="Times New Roman"/>
          <w:b/>
          <w:sz w:val="44"/>
          <w:szCs w:val="44"/>
        </w:rPr>
        <w:t>年</w:t>
      </w:r>
      <w:r>
        <w:rPr>
          <w:rFonts w:hint="eastAsia" w:ascii="Times New Roman" w:cs="Times New Roman"/>
          <w:b/>
          <w:sz w:val="44"/>
          <w:szCs w:val="44"/>
          <w:lang w:val="en-US" w:eastAsia="zh-CN"/>
        </w:rPr>
        <w:t xml:space="preserve"> </w:t>
      </w:r>
      <w:r>
        <w:rPr>
          <w:rFonts w:ascii="Times New Roman" w:cs="Times New Roman"/>
          <w:b/>
          <w:sz w:val="44"/>
          <w:szCs w:val="44"/>
        </w:rPr>
        <w:t>月</w:t>
      </w:r>
    </w:p>
    <w:p w14:paraId="563E16B1">
      <w:pPr>
        <w:autoSpaceDE w:val="0"/>
        <w:autoSpaceDN w:val="0"/>
        <w:adjustRightInd w:val="0"/>
        <w:spacing w:line="312" w:lineRule="auto"/>
        <w:ind w:firstLine="0" w:firstLineChars="0"/>
        <w:jc w:val="center"/>
        <w:rPr>
          <w:rFonts w:ascii="Times New Roman" w:hAnsi="Times New Roman" w:eastAsia="黑体" w:cs="宋体"/>
          <w:kern w:val="0"/>
          <w:szCs w:val="32"/>
        </w:rPr>
      </w:pPr>
      <w:r>
        <w:rPr>
          <w:rFonts w:hint="eastAsia" w:ascii="Times New Roman" w:hAnsi="Times New Roman" w:eastAsia="黑体" w:cs="宋体"/>
          <w:kern w:val="0"/>
          <w:szCs w:val="32"/>
        </w:rPr>
        <w:t>撰写说明</w:t>
      </w:r>
    </w:p>
    <w:p w14:paraId="689FE652">
      <w:pPr>
        <w:autoSpaceDE w:val="0"/>
        <w:autoSpaceDN w:val="0"/>
        <w:adjustRightInd w:val="0"/>
        <w:spacing w:line="312" w:lineRule="auto"/>
        <w:ind w:firstLine="0" w:firstLineChars="0"/>
        <w:jc w:val="center"/>
        <w:rPr>
          <w:rFonts w:ascii="Times New Roman" w:hAnsi="Times New Roman" w:eastAsia="黑体" w:cs="宋体"/>
          <w:kern w:val="0"/>
          <w:szCs w:val="32"/>
        </w:rPr>
      </w:pPr>
    </w:p>
    <w:p w14:paraId="3E6DEEA7">
      <w:pPr>
        <w:ind w:firstLine="640"/>
        <w:rPr>
          <w:rFonts w:hint="eastAsia" w:ascii="仿宋_GB2312" w:hAnsi="仿宋_GB2312" w:eastAsia="仿宋_GB2312" w:cs="仿宋_GB2312"/>
        </w:rPr>
      </w:pPr>
      <w:r>
        <w:rPr>
          <w:rFonts w:hint="eastAsia" w:ascii="仿宋_GB2312" w:hAnsi="仿宋_GB2312" w:eastAsia="仿宋_GB2312" w:cs="仿宋_GB2312"/>
        </w:rPr>
        <w:t>1.学院应按照</w:t>
      </w:r>
      <w:r>
        <w:rPr>
          <w:rFonts w:hint="eastAsia" w:ascii="仿宋_GB2312" w:hAnsi="仿宋_GB2312" w:eastAsia="仿宋_GB2312" w:cs="仿宋_GB2312"/>
          <w:b/>
          <w:bCs/>
        </w:rPr>
        <w:t>第二类第一种</w:t>
      </w:r>
      <w:r>
        <w:rPr>
          <w:rFonts w:hint="eastAsia" w:ascii="仿宋_GB2312" w:hAnsi="仿宋_GB2312" w:eastAsia="仿宋_GB2312" w:cs="仿宋_GB2312"/>
        </w:rPr>
        <w:t>评估指标体系撰写自评报告。</w:t>
      </w:r>
    </w:p>
    <w:p w14:paraId="6EBA0A53">
      <w:pPr>
        <w:ind w:firstLine="640"/>
        <w:rPr>
          <w:rFonts w:hint="eastAsia" w:ascii="仿宋_GB2312" w:hAnsi="仿宋_GB2312" w:eastAsia="仿宋_GB2312" w:cs="仿宋_GB2312"/>
        </w:rPr>
      </w:pP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rPr>
        <w:t>.《</w:t>
      </w:r>
      <w:r>
        <w:rPr>
          <w:rFonts w:hint="eastAsia" w:ascii="仿宋_GB2312" w:hAnsi="仿宋_GB2312" w:eastAsia="仿宋_GB2312" w:cs="仿宋_GB2312"/>
          <w:b w:val="0"/>
          <w:bCs w:val="0"/>
          <w:lang w:val="en-US" w:eastAsia="zh-CN"/>
        </w:rPr>
        <w:t>审</w:t>
      </w:r>
      <w:r>
        <w:rPr>
          <w:rFonts w:hint="eastAsia" w:ascii="仿宋_GB2312" w:hAnsi="仿宋_GB2312" w:eastAsia="仿宋_GB2312" w:cs="仿宋_GB2312"/>
          <w:lang w:val="en-US" w:eastAsia="zh-CN"/>
        </w:rPr>
        <w:t>核评估</w:t>
      </w:r>
      <w:r>
        <w:rPr>
          <w:rFonts w:hint="eastAsia" w:ascii="仿宋_GB2312" w:hAnsi="仿宋_GB2312" w:eastAsia="仿宋_GB2312" w:cs="仿宋_GB2312"/>
        </w:rPr>
        <w:t>学院自评报告》</w:t>
      </w:r>
      <w:r>
        <w:rPr>
          <w:rFonts w:hint="eastAsia" w:ascii="仿宋_GB2312" w:hAnsi="仿宋_GB2312" w:eastAsia="仿宋_GB2312" w:cs="仿宋_GB2312"/>
          <w:b/>
          <w:bCs/>
        </w:rPr>
        <w:t>总字数控制在</w:t>
      </w:r>
      <w:r>
        <w:rPr>
          <w:rFonts w:hint="eastAsia" w:ascii="仿宋_GB2312" w:hAnsi="仿宋_GB2312" w:cs="仿宋_GB2312"/>
          <w:b/>
          <w:bCs/>
          <w:lang w:val="en-US" w:eastAsia="zh-CN"/>
        </w:rPr>
        <w:t>2</w:t>
      </w:r>
      <w:r>
        <w:rPr>
          <w:rFonts w:hint="eastAsia" w:ascii="仿宋_GB2312" w:hAnsi="仿宋_GB2312" w:eastAsia="仿宋_GB2312" w:cs="仿宋_GB2312"/>
          <w:b/>
          <w:bCs/>
        </w:rPr>
        <w:t>万字左右</w:t>
      </w:r>
      <w:r>
        <w:rPr>
          <w:rFonts w:hint="eastAsia" w:ascii="仿宋_GB2312" w:hAnsi="仿宋_GB2312" w:eastAsia="仿宋_GB2312" w:cs="仿宋_GB2312"/>
          <w:b w:val="0"/>
          <w:bCs w:val="0"/>
        </w:rPr>
        <w:t>（不含附录等），可</w:t>
      </w:r>
      <w:r>
        <w:rPr>
          <w:rFonts w:hint="eastAsia" w:ascii="仿宋_GB2312" w:hAnsi="仿宋_GB2312" w:eastAsia="仿宋_GB2312" w:cs="仿宋_GB2312"/>
        </w:rPr>
        <w:t>在各部分中自行调节。</w:t>
      </w:r>
      <w:r>
        <w:rPr>
          <w:rFonts w:hint="eastAsia" w:ascii="仿宋_GB2312" w:hAnsi="仿宋_GB2312" w:eastAsia="仿宋_GB2312" w:cs="仿宋_GB2312"/>
          <w:b/>
          <w:bCs/>
        </w:rPr>
        <w:t>存在的问题、原因分析以及改进措施不少于自评结果部分的三分之一</w:t>
      </w:r>
      <w:r>
        <w:rPr>
          <w:rFonts w:hint="eastAsia" w:ascii="仿宋_GB2312" w:hAnsi="仿宋_GB2312" w:eastAsia="仿宋_GB2312" w:cs="仿宋_GB2312"/>
        </w:rPr>
        <w:t>。</w:t>
      </w:r>
    </w:p>
    <w:p w14:paraId="7AD24ED9">
      <w:pPr>
        <w:ind w:firstLine="640"/>
        <w:rPr>
          <w:rFonts w:ascii="Times New Roman" w:hAnsi="Times New Roman" w:cs="仿宋_GB2312"/>
        </w:rPr>
      </w:pPr>
      <w:r>
        <w:rPr>
          <w:rFonts w:hint="eastAsia" w:ascii="Times New Roman" w:hAnsi="Times New Roman" w:cs="仿宋_GB2312"/>
          <w:lang w:val="en-US" w:eastAsia="zh-CN"/>
        </w:rPr>
        <w:t>3</w:t>
      </w:r>
      <w:r>
        <w:rPr>
          <w:rFonts w:hint="eastAsia" w:ascii="Times New Roman" w:hAnsi="Times New Roman" w:cs="仿宋_GB2312"/>
        </w:rPr>
        <w:t>.格式文本中的黑体字体为规定内容，撰写时予以保留；其他字体为提示参考，撰写时不需保留。</w:t>
      </w:r>
    </w:p>
    <w:p w14:paraId="1DC93E51">
      <w:pPr>
        <w:ind w:firstLine="640"/>
        <w:rPr>
          <w:rFonts w:ascii="Times New Roman" w:hAnsi="Times New Roman" w:cs="仿宋_GB2312"/>
        </w:rPr>
      </w:pPr>
      <w:r>
        <w:rPr>
          <w:rFonts w:hint="eastAsia" w:ascii="Times New Roman" w:hAnsi="Times New Roman" w:cs="仿宋_GB2312"/>
          <w:lang w:val="en-US" w:eastAsia="zh-CN"/>
        </w:rPr>
        <w:t>4</w:t>
      </w:r>
      <w:r>
        <w:rPr>
          <w:rFonts w:hint="eastAsia" w:ascii="Times New Roman" w:hAnsi="Times New Roman" w:cs="仿宋_GB2312"/>
        </w:rPr>
        <w:t>.支撑材料目录应作为《自评报告》附录列出，每个二级审核指标自评结果后面应分别列出相关支撑材料索引。</w:t>
      </w:r>
    </w:p>
    <w:p w14:paraId="18404EAC">
      <w:pPr>
        <w:ind w:firstLine="640"/>
        <w:rPr>
          <w:rFonts w:ascii="Times New Roman" w:hAnsi="Times New Roman" w:cs="仿宋_GB2312"/>
        </w:rPr>
      </w:pPr>
    </w:p>
    <w:p w14:paraId="03EAB567">
      <w:pPr>
        <w:ind w:firstLine="640"/>
        <w:rPr>
          <w:rFonts w:ascii="Times New Roman" w:hAnsi="Times New Roman" w:cs="仿宋_GB2312"/>
        </w:rPr>
      </w:pPr>
    </w:p>
    <w:p w14:paraId="7E3A9A7C">
      <w:pPr>
        <w:ind w:firstLine="640"/>
        <w:rPr>
          <w:rFonts w:ascii="Times New Roman" w:hAnsi="Times New Roman" w:cs="仿宋_GB2312"/>
        </w:rPr>
      </w:pPr>
    </w:p>
    <w:p w14:paraId="562CD966">
      <w:pPr>
        <w:ind w:firstLine="640"/>
        <w:rPr>
          <w:rFonts w:ascii="Times New Roman" w:hAnsi="Times New Roman" w:cs="仿宋_GB2312"/>
        </w:rPr>
      </w:pPr>
    </w:p>
    <w:p w14:paraId="2D26833C">
      <w:pPr>
        <w:ind w:firstLine="640"/>
        <w:rPr>
          <w:rFonts w:ascii="Times New Roman" w:hAnsi="Times New Roman" w:cs="仿宋_GB2312"/>
        </w:rPr>
      </w:pPr>
    </w:p>
    <w:p w14:paraId="38DDD35D">
      <w:pPr>
        <w:ind w:firstLine="640"/>
        <w:rPr>
          <w:rFonts w:ascii="Times New Roman" w:hAnsi="Times New Roman" w:cs="仿宋_GB2312"/>
        </w:rPr>
      </w:pPr>
    </w:p>
    <w:p w14:paraId="09A9F665">
      <w:pPr>
        <w:ind w:firstLine="640"/>
        <w:rPr>
          <w:rFonts w:ascii="Times New Roman" w:hAnsi="Times New Roman" w:cs="仿宋_GB2312"/>
        </w:rPr>
      </w:pPr>
    </w:p>
    <w:p w14:paraId="107D7A1E">
      <w:pPr>
        <w:ind w:firstLine="640"/>
        <w:rPr>
          <w:rFonts w:ascii="Times New Roman" w:hAnsi="Times New Roman" w:cs="仿宋_GB2312"/>
        </w:rPr>
      </w:pPr>
    </w:p>
    <w:p w14:paraId="3662264A">
      <w:pPr>
        <w:ind w:firstLine="640"/>
        <w:rPr>
          <w:rFonts w:ascii="Times New Roman" w:hAnsi="Times New Roman" w:cs="仿宋_GB2312"/>
        </w:rPr>
      </w:pPr>
    </w:p>
    <w:p w14:paraId="2A1789A8">
      <w:pPr>
        <w:ind w:firstLine="640"/>
        <w:rPr>
          <w:rFonts w:ascii="Times New Roman" w:hAnsi="Times New Roman" w:cs="仿宋_GB2312"/>
        </w:rPr>
      </w:pPr>
    </w:p>
    <w:p w14:paraId="77309971">
      <w:pPr>
        <w:ind w:firstLine="640"/>
        <w:rPr>
          <w:rFonts w:ascii="Times New Roman" w:hAnsi="Times New Roman" w:cs="仿宋_GB2312"/>
        </w:rPr>
      </w:pPr>
    </w:p>
    <w:p w14:paraId="127C93A1">
      <w:pPr>
        <w:ind w:firstLine="640"/>
        <w:rPr>
          <w:rFonts w:ascii="Times New Roman" w:hAnsi="Times New Roman" w:cs="仿宋_GB2312"/>
        </w:rPr>
      </w:pPr>
    </w:p>
    <w:p w14:paraId="785CD98F">
      <w:pPr>
        <w:ind w:firstLine="640"/>
        <w:rPr>
          <w:rFonts w:ascii="Times New Roman" w:hAnsi="Times New Roman" w:cs="仿宋_GB2312"/>
        </w:rPr>
      </w:pPr>
    </w:p>
    <w:p w14:paraId="646EBEEC">
      <w:pPr>
        <w:pStyle w:val="8"/>
        <w:ind w:firstLine="0" w:firstLineChars="0"/>
        <w:jc w:val="center"/>
        <w:rPr>
          <w:rFonts w:hint="eastAsia" w:ascii="Times New Roman" w:hAnsi="Times New Roman" w:eastAsia="华文中宋" w:cs="宋体"/>
          <w:kern w:val="0"/>
          <w:sz w:val="32"/>
          <w:szCs w:val="32"/>
        </w:rPr>
      </w:pPr>
      <w:r>
        <w:rPr>
          <w:rFonts w:hint="eastAsia" w:ascii="Times New Roman" w:hAnsi="Times New Roman" w:eastAsia="华文中宋" w:cs="宋体"/>
          <w:kern w:val="0"/>
          <w:sz w:val="32"/>
          <w:szCs w:val="32"/>
        </w:rPr>
        <w:t xml:space="preserve">目 </w:t>
      </w:r>
      <w:r>
        <w:rPr>
          <w:rFonts w:ascii="Times New Roman" w:hAnsi="Times New Roman" w:eastAsia="华文中宋" w:cs="宋体"/>
          <w:kern w:val="0"/>
          <w:sz w:val="32"/>
          <w:szCs w:val="32"/>
        </w:rPr>
        <w:t xml:space="preserve"> </w:t>
      </w:r>
      <w:r>
        <w:rPr>
          <w:rFonts w:hint="eastAsia" w:ascii="Times New Roman" w:hAnsi="Times New Roman" w:eastAsia="华文中宋" w:cs="宋体"/>
          <w:kern w:val="0"/>
          <w:sz w:val="32"/>
          <w:szCs w:val="32"/>
        </w:rPr>
        <w:t>录</w:t>
      </w:r>
    </w:p>
    <w:p w14:paraId="53713677">
      <w:pPr>
        <w:rPr>
          <w:rFonts w:hint="eastAsia" w:ascii="Times New Roman" w:hAnsi="Times New Roman" w:eastAsia="华文中宋" w:cs="宋体"/>
          <w:kern w:val="0"/>
          <w:sz w:val="32"/>
          <w:szCs w:val="32"/>
        </w:rPr>
      </w:pPr>
    </w:p>
    <w:p w14:paraId="0B76C30A">
      <w:pPr>
        <w:rPr>
          <w:rFonts w:hint="eastAsia" w:ascii="Times New Roman" w:hAnsi="Times New Roman" w:eastAsia="华文中宋" w:cs="宋体"/>
          <w:kern w:val="0"/>
          <w:sz w:val="32"/>
          <w:szCs w:val="32"/>
        </w:rPr>
      </w:pPr>
    </w:p>
    <w:p w14:paraId="4C2C1094">
      <w:pPr>
        <w:rPr>
          <w:rFonts w:hint="eastAsia" w:ascii="Times New Roman" w:hAnsi="Times New Roman" w:eastAsia="华文中宋" w:cs="宋体"/>
          <w:kern w:val="0"/>
          <w:sz w:val="32"/>
          <w:szCs w:val="32"/>
        </w:rPr>
      </w:pPr>
    </w:p>
    <w:p w14:paraId="5F897986">
      <w:pPr>
        <w:rPr>
          <w:rFonts w:hint="eastAsia" w:ascii="Times New Roman" w:hAnsi="Times New Roman" w:eastAsia="华文中宋" w:cs="宋体"/>
          <w:kern w:val="0"/>
          <w:sz w:val="32"/>
          <w:szCs w:val="32"/>
        </w:rPr>
      </w:pPr>
    </w:p>
    <w:p w14:paraId="57A40245">
      <w:pPr>
        <w:rPr>
          <w:rFonts w:hint="eastAsia" w:ascii="Times New Roman" w:hAnsi="Times New Roman" w:eastAsia="华文中宋" w:cs="宋体"/>
          <w:kern w:val="0"/>
          <w:sz w:val="32"/>
          <w:szCs w:val="32"/>
        </w:rPr>
      </w:pPr>
    </w:p>
    <w:p w14:paraId="4990B4F0">
      <w:pPr>
        <w:rPr>
          <w:rFonts w:hint="eastAsia" w:ascii="Times New Roman" w:hAnsi="Times New Roman" w:eastAsia="华文中宋" w:cs="宋体"/>
          <w:kern w:val="0"/>
          <w:sz w:val="32"/>
          <w:szCs w:val="32"/>
        </w:rPr>
      </w:pPr>
    </w:p>
    <w:p w14:paraId="494F431C">
      <w:pPr>
        <w:rPr>
          <w:rFonts w:hint="eastAsia" w:ascii="Times New Roman" w:hAnsi="Times New Roman" w:eastAsia="华文中宋" w:cs="宋体"/>
          <w:kern w:val="0"/>
          <w:sz w:val="32"/>
          <w:szCs w:val="32"/>
        </w:rPr>
      </w:pPr>
    </w:p>
    <w:p w14:paraId="748923AB">
      <w:pPr>
        <w:rPr>
          <w:rFonts w:hint="eastAsia" w:ascii="Times New Roman" w:hAnsi="Times New Roman" w:eastAsia="华文中宋" w:cs="宋体"/>
          <w:kern w:val="0"/>
          <w:sz w:val="32"/>
          <w:szCs w:val="32"/>
        </w:rPr>
      </w:pPr>
    </w:p>
    <w:p w14:paraId="61BFC814">
      <w:pPr>
        <w:rPr>
          <w:rFonts w:hint="eastAsia" w:ascii="Times New Roman" w:hAnsi="Times New Roman" w:eastAsia="华文中宋" w:cs="宋体"/>
          <w:kern w:val="0"/>
          <w:sz w:val="32"/>
          <w:szCs w:val="32"/>
        </w:rPr>
      </w:pPr>
    </w:p>
    <w:p w14:paraId="57024F8E">
      <w:pPr>
        <w:rPr>
          <w:rFonts w:hint="eastAsia" w:ascii="Times New Roman" w:hAnsi="Times New Roman" w:eastAsia="华文中宋" w:cs="宋体"/>
          <w:kern w:val="0"/>
          <w:sz w:val="32"/>
          <w:szCs w:val="32"/>
        </w:rPr>
      </w:pPr>
    </w:p>
    <w:p w14:paraId="61473CA6">
      <w:pPr>
        <w:rPr>
          <w:rFonts w:hint="eastAsia" w:ascii="Times New Roman" w:hAnsi="Times New Roman" w:eastAsia="华文中宋" w:cs="宋体"/>
          <w:kern w:val="0"/>
          <w:sz w:val="32"/>
          <w:szCs w:val="32"/>
        </w:rPr>
      </w:pPr>
    </w:p>
    <w:p w14:paraId="2A9D64FC">
      <w:pPr>
        <w:rPr>
          <w:rFonts w:hint="eastAsia" w:ascii="Times New Roman" w:hAnsi="Times New Roman" w:eastAsia="华文中宋" w:cs="宋体"/>
          <w:kern w:val="0"/>
          <w:sz w:val="32"/>
          <w:szCs w:val="32"/>
        </w:rPr>
      </w:pPr>
    </w:p>
    <w:p w14:paraId="2EC607CC">
      <w:pPr>
        <w:rPr>
          <w:rFonts w:hint="eastAsia" w:ascii="Times New Roman" w:hAnsi="Times New Roman" w:eastAsia="华文中宋" w:cs="宋体"/>
          <w:kern w:val="0"/>
          <w:sz w:val="32"/>
          <w:szCs w:val="32"/>
        </w:rPr>
      </w:pPr>
    </w:p>
    <w:p w14:paraId="436736C7">
      <w:pPr>
        <w:rPr>
          <w:rFonts w:hint="eastAsia" w:ascii="Times New Roman" w:hAnsi="Times New Roman" w:eastAsia="华文中宋" w:cs="宋体"/>
          <w:kern w:val="0"/>
          <w:sz w:val="32"/>
          <w:szCs w:val="32"/>
        </w:rPr>
      </w:pPr>
    </w:p>
    <w:p w14:paraId="6FFC6AF4">
      <w:pPr>
        <w:rPr>
          <w:rFonts w:hint="eastAsia" w:ascii="Times New Roman" w:hAnsi="Times New Roman" w:eastAsia="华文中宋" w:cs="宋体"/>
          <w:kern w:val="0"/>
          <w:sz w:val="32"/>
          <w:szCs w:val="32"/>
        </w:rPr>
      </w:pPr>
    </w:p>
    <w:p w14:paraId="29083E0D">
      <w:pPr>
        <w:rPr>
          <w:rFonts w:hint="eastAsia" w:ascii="Times New Roman" w:hAnsi="Times New Roman" w:eastAsia="华文中宋" w:cs="宋体"/>
          <w:kern w:val="0"/>
          <w:sz w:val="32"/>
          <w:szCs w:val="32"/>
        </w:rPr>
      </w:pPr>
    </w:p>
    <w:p w14:paraId="4C13C471">
      <w:pPr>
        <w:rPr>
          <w:rFonts w:hint="eastAsia" w:ascii="Times New Roman" w:hAnsi="Times New Roman" w:eastAsia="华文中宋" w:cs="宋体"/>
          <w:kern w:val="0"/>
          <w:sz w:val="32"/>
          <w:szCs w:val="32"/>
        </w:rPr>
      </w:pPr>
    </w:p>
    <w:p w14:paraId="636E8679">
      <w:pPr>
        <w:rPr>
          <w:rFonts w:hint="eastAsia" w:ascii="Times New Roman" w:hAnsi="Times New Roman" w:eastAsia="华文中宋" w:cs="宋体"/>
          <w:kern w:val="0"/>
          <w:sz w:val="32"/>
          <w:szCs w:val="32"/>
        </w:rPr>
      </w:pPr>
    </w:p>
    <w:p w14:paraId="3D7D7063">
      <w:pPr>
        <w:rPr>
          <w:rFonts w:hint="eastAsia" w:ascii="Times New Roman" w:hAnsi="Times New Roman" w:eastAsia="华文中宋" w:cs="宋体"/>
          <w:kern w:val="0"/>
          <w:sz w:val="32"/>
          <w:szCs w:val="32"/>
        </w:rPr>
      </w:pPr>
    </w:p>
    <w:p w14:paraId="5580F339">
      <w:pPr>
        <w:rPr>
          <w:rFonts w:hint="eastAsia" w:ascii="Times New Roman" w:hAnsi="Times New Roman" w:eastAsia="华文中宋" w:cs="宋体"/>
          <w:kern w:val="0"/>
          <w:sz w:val="32"/>
          <w:szCs w:val="32"/>
        </w:rPr>
      </w:pPr>
    </w:p>
    <w:p w14:paraId="3717C0E4">
      <w:pPr>
        <w:rPr>
          <w:rFonts w:hint="eastAsia" w:ascii="Times New Roman" w:hAnsi="Times New Roman" w:eastAsia="华文中宋" w:cs="宋体"/>
          <w:kern w:val="0"/>
          <w:sz w:val="32"/>
          <w:szCs w:val="32"/>
        </w:rPr>
      </w:pPr>
    </w:p>
    <w:p w14:paraId="7F860D64">
      <w:pPr>
        <w:rPr>
          <w:rFonts w:hint="eastAsia" w:ascii="Times New Roman" w:hAnsi="Times New Roman" w:eastAsia="华文中宋" w:cs="宋体"/>
          <w:kern w:val="0"/>
          <w:sz w:val="32"/>
          <w:szCs w:val="32"/>
        </w:rPr>
      </w:pPr>
    </w:p>
    <w:p w14:paraId="2DA02230">
      <w:pPr>
        <w:rPr>
          <w:rFonts w:hint="eastAsia" w:ascii="Times New Roman" w:hAnsi="Times New Roman" w:eastAsia="华文中宋" w:cs="宋体"/>
          <w:kern w:val="0"/>
          <w:sz w:val="32"/>
          <w:szCs w:val="32"/>
        </w:rPr>
      </w:pPr>
    </w:p>
    <w:p w14:paraId="4DF5F363">
      <w:pPr>
        <w:pStyle w:val="8"/>
        <w:ind w:firstLine="0" w:firstLineChars="0"/>
        <w:rPr>
          <w:rFonts w:ascii="Times New Roman" w:hAnsi="Times New Roman"/>
        </w:rPr>
      </w:pPr>
      <w:r>
        <w:rPr>
          <w:rFonts w:hint="eastAsia" w:ascii="Times New Roman" w:hAnsi="Times New Roman"/>
        </w:rPr>
        <w:t>本科教育教学审核评估自评报告</w:t>
      </w:r>
    </w:p>
    <w:p w14:paraId="6038DAAA">
      <w:pPr>
        <w:ind w:firstLine="640"/>
        <w:rPr>
          <w:rFonts w:ascii="Times New Roman" w:hAnsi="Times New Roman"/>
        </w:rPr>
      </w:pPr>
    </w:p>
    <w:p w14:paraId="115364BA">
      <w:pPr>
        <w:pStyle w:val="2"/>
        <w:ind w:firstLine="643"/>
        <w:rPr>
          <w:rFonts w:ascii="Times New Roman" w:hAnsi="Times New Roman"/>
        </w:rPr>
      </w:pPr>
      <w:r>
        <w:rPr>
          <w:rFonts w:hint="eastAsia" w:ascii="Times New Roman" w:hAnsi="Times New Roman"/>
        </w:rPr>
        <w:t>第一部分：</w:t>
      </w:r>
      <w:r>
        <w:rPr>
          <w:rFonts w:ascii="Times New Roman" w:hAnsi="Times New Roman"/>
        </w:rPr>
        <w:t>学院简介</w:t>
      </w:r>
    </w:p>
    <w:p w14:paraId="14F8614F">
      <w:pPr>
        <w:ind w:firstLine="640"/>
        <w:rPr>
          <w:rFonts w:ascii="Times New Roman" w:hAnsi="Times New Roman"/>
        </w:rPr>
      </w:pPr>
      <w:r>
        <w:rPr>
          <w:rFonts w:hint="eastAsia" w:ascii="Times New Roman" w:hAnsi="Times New Roman" w:cs="仿宋_GB2312"/>
        </w:rPr>
        <w:t>1.简要介</w:t>
      </w:r>
      <w:r>
        <w:rPr>
          <w:rFonts w:ascii="Times New Roman" w:hAnsi="Times New Roman"/>
        </w:rPr>
        <w:t>绍学院的历史沿革，隶属关系，学科布局，本科专业数</w:t>
      </w:r>
      <w:r>
        <w:rPr>
          <w:rFonts w:hint="eastAsia" w:ascii="Times New Roman" w:hAnsi="Times New Roman"/>
        </w:rPr>
        <w:t>量与结构，各类全日制在校生规模，专任教师规模，基本办学条件等。</w:t>
      </w:r>
    </w:p>
    <w:p w14:paraId="7D782FC1">
      <w:pPr>
        <w:ind w:firstLine="640"/>
        <w:rPr>
          <w:rFonts w:ascii="Times New Roman" w:hAnsi="Times New Roman"/>
        </w:rPr>
      </w:pPr>
      <w:r>
        <w:rPr>
          <w:rFonts w:hint="eastAsia" w:ascii="Times New Roman" w:hAnsi="Times New Roman" w:cs="仿宋_GB2312"/>
        </w:rPr>
        <w:t>2.学院近年</w:t>
      </w:r>
      <w:r>
        <w:rPr>
          <w:rFonts w:ascii="Times New Roman" w:hAnsi="Times New Roman"/>
        </w:rPr>
        <w:t>来事业发展中所取得的显著成就与荣誉。</w:t>
      </w:r>
    </w:p>
    <w:p w14:paraId="047B8335">
      <w:pPr>
        <w:pStyle w:val="2"/>
        <w:ind w:firstLine="643"/>
        <w:rPr>
          <w:rFonts w:ascii="Times New Roman" w:hAnsi="Times New Roman"/>
        </w:rPr>
      </w:pPr>
      <w:r>
        <w:rPr>
          <w:rFonts w:hint="eastAsia" w:ascii="Times New Roman" w:hAnsi="Times New Roman"/>
        </w:rPr>
        <w:t>第二部分：</w:t>
      </w:r>
      <w:r>
        <w:rPr>
          <w:rFonts w:ascii="Times New Roman" w:hAnsi="Times New Roman"/>
        </w:rPr>
        <w:t>学院自评工作开展情况</w:t>
      </w:r>
    </w:p>
    <w:p w14:paraId="575A911F">
      <w:pPr>
        <w:ind w:firstLine="640"/>
        <w:rPr>
          <w:rFonts w:ascii="Times New Roman" w:hAnsi="Times New Roman"/>
        </w:rPr>
      </w:pPr>
      <w:r>
        <w:rPr>
          <w:rFonts w:hint="eastAsia" w:ascii="Times New Roman" w:hAnsi="Times New Roman" w:cs="仿宋_GB2312"/>
        </w:rPr>
        <w:t>1.</w:t>
      </w:r>
      <w:r>
        <w:rPr>
          <w:rFonts w:ascii="Times New Roman" w:hAnsi="Times New Roman"/>
        </w:rPr>
        <w:t>简要说明学院依据</w:t>
      </w:r>
      <w:r>
        <w:rPr>
          <w:rFonts w:hint="eastAsia" w:ascii="Times New Roman" w:hAnsi="Times New Roman"/>
        </w:rPr>
        <w:t>《浙江工商大学本科教育教学审核评估工作方案》</w:t>
      </w:r>
      <w:r>
        <w:rPr>
          <w:rFonts w:ascii="Times New Roman" w:hAnsi="Times New Roman"/>
        </w:rPr>
        <w:t>开展自评自建工作情况，包括组织机构、宣</w:t>
      </w:r>
      <w:r>
        <w:rPr>
          <w:rFonts w:hint="eastAsia" w:ascii="Times New Roman" w:hAnsi="Times New Roman"/>
        </w:rPr>
        <w:t>传发动、实施措施、经验以及评建工作取得的成效。</w:t>
      </w:r>
    </w:p>
    <w:p w14:paraId="052EA316">
      <w:pPr>
        <w:ind w:firstLine="640"/>
        <w:rPr>
          <w:rFonts w:ascii="Times New Roman" w:hAnsi="Times New Roman"/>
        </w:rPr>
      </w:pPr>
      <w:r>
        <w:rPr>
          <w:rFonts w:hint="eastAsia" w:ascii="Times New Roman" w:hAnsi="Times New Roman" w:cs="仿宋_GB2312"/>
        </w:rPr>
        <w:t>2.</w:t>
      </w:r>
      <w:r>
        <w:rPr>
          <w:rFonts w:ascii="Times New Roman" w:hAnsi="Times New Roman"/>
        </w:rPr>
        <w:t>需附自查问题清单</w:t>
      </w:r>
      <w:r>
        <w:rPr>
          <w:rFonts w:hint="eastAsia" w:ascii="Times New Roman" w:hAnsi="Times New Roman"/>
        </w:rPr>
        <w:t>、</w:t>
      </w:r>
      <w:r>
        <w:rPr>
          <w:rFonts w:ascii="Times New Roman" w:hAnsi="Times New Roman"/>
        </w:rPr>
        <w:t>支撑材料索引</w:t>
      </w:r>
      <w:r>
        <w:rPr>
          <w:rFonts w:hint="eastAsia" w:ascii="Times New Roman" w:hAnsi="Times New Roman"/>
        </w:rPr>
        <w:t>、</w:t>
      </w:r>
      <w:r>
        <w:rPr>
          <w:rFonts w:ascii="Times New Roman" w:hAnsi="Times New Roman"/>
        </w:rPr>
        <w:t>学院审核评估工作领导小</w:t>
      </w:r>
      <w:r>
        <w:rPr>
          <w:rFonts w:hint="eastAsia" w:ascii="Times New Roman" w:hAnsi="Times New Roman"/>
        </w:rPr>
        <w:t>组、自评自建工作方案、自评自建过程记录等。</w:t>
      </w:r>
    </w:p>
    <w:p w14:paraId="2A698846">
      <w:pPr>
        <w:pStyle w:val="2"/>
        <w:ind w:firstLine="643"/>
        <w:rPr>
          <w:rFonts w:ascii="Times New Roman" w:hAnsi="Times New Roman"/>
        </w:rPr>
      </w:pPr>
      <w:r>
        <w:rPr>
          <w:rFonts w:hint="eastAsia" w:ascii="Times New Roman" w:hAnsi="Times New Roman"/>
        </w:rPr>
        <w:t>第三部分：</w:t>
      </w:r>
      <w:r>
        <w:rPr>
          <w:rFonts w:ascii="Times New Roman" w:hAnsi="Times New Roman"/>
        </w:rPr>
        <w:t>学院自评结果</w:t>
      </w:r>
    </w:p>
    <w:p w14:paraId="353963E8">
      <w:pPr>
        <w:pStyle w:val="3"/>
        <w:ind w:left="0" w:leftChars="0" w:firstLine="643" w:firstLineChars="200"/>
        <w:rPr>
          <w:rFonts w:ascii="Times New Roman" w:hAnsi="Times New Roman" w:cs="楷体_GB2312"/>
        </w:rPr>
      </w:pPr>
      <w:r>
        <w:rPr>
          <w:rFonts w:hint="eastAsia" w:ascii="Times New Roman" w:hAnsi="Times New Roman" w:cs="楷体_GB2312"/>
        </w:rPr>
        <w:t>1.办学方向与本科地位</w:t>
      </w:r>
    </w:p>
    <w:p w14:paraId="4E425054">
      <w:pPr>
        <w:pStyle w:val="4"/>
        <w:ind w:firstLine="643"/>
        <w:rPr>
          <w:rFonts w:ascii="Times New Roman" w:hAnsi="Times New Roman"/>
        </w:rPr>
      </w:pPr>
      <w:r>
        <w:rPr>
          <w:rFonts w:hint="eastAsia" w:ascii="Times New Roman" w:hAnsi="Times New Roman" w:cs="仿宋_GB2312"/>
        </w:rPr>
        <w:t xml:space="preserve">1.1 </w:t>
      </w:r>
      <w:r>
        <w:rPr>
          <w:rFonts w:ascii="Times New Roman" w:hAnsi="Times New Roman"/>
        </w:rPr>
        <w:t>党的领导</w:t>
      </w:r>
    </w:p>
    <w:p w14:paraId="6D1D8837">
      <w:pPr>
        <w:pStyle w:val="4"/>
        <w:ind w:firstLine="643"/>
        <w:rPr>
          <w:rFonts w:ascii="Times New Roman" w:hAnsi="Times New Roman"/>
        </w:rPr>
      </w:pPr>
      <w:r>
        <w:rPr>
          <w:rFonts w:hint="eastAsia" w:ascii="Times New Roman" w:hAnsi="Times New Roman" w:cs="仿宋_GB2312"/>
        </w:rPr>
        <w:t>1.2</w:t>
      </w:r>
      <w:r>
        <w:rPr>
          <w:rFonts w:ascii="Times New Roman" w:hAnsi="Times New Roman"/>
        </w:rPr>
        <w:t xml:space="preserve"> 思政教育</w:t>
      </w:r>
    </w:p>
    <w:p w14:paraId="0ABAFA4E">
      <w:pPr>
        <w:pStyle w:val="4"/>
        <w:ind w:firstLine="643"/>
        <w:rPr>
          <w:rFonts w:ascii="Times New Roman" w:hAnsi="Times New Roman"/>
        </w:rPr>
      </w:pPr>
      <w:r>
        <w:rPr>
          <w:rFonts w:hint="eastAsia" w:ascii="Times New Roman" w:hAnsi="Times New Roman" w:cs="仿宋_GB2312"/>
        </w:rPr>
        <w:t xml:space="preserve">1.3 </w:t>
      </w:r>
      <w:r>
        <w:rPr>
          <w:rFonts w:ascii="Times New Roman" w:hAnsi="Times New Roman"/>
        </w:rPr>
        <w:t>本科地位</w:t>
      </w:r>
    </w:p>
    <w:p w14:paraId="2BF01981">
      <w:pPr>
        <w:pStyle w:val="4"/>
        <w:ind w:firstLine="643"/>
        <w:rPr>
          <w:rFonts w:ascii="Times New Roman" w:hAnsi="Times New Roman"/>
        </w:rPr>
      </w:pPr>
      <w:r>
        <w:rPr>
          <w:rFonts w:hint="eastAsia" w:ascii="Times New Roman" w:hAnsi="Times New Roman" w:cs="仿宋_GB2312"/>
        </w:rPr>
        <w:t xml:space="preserve">1.4 </w:t>
      </w:r>
      <w:r>
        <w:rPr>
          <w:rFonts w:ascii="Times New Roman" w:hAnsi="Times New Roman"/>
        </w:rPr>
        <w:t>存在的问题、原因分析及下一步整改举措</w:t>
      </w:r>
    </w:p>
    <w:p w14:paraId="5FD6C0A4">
      <w:pPr>
        <w:pStyle w:val="3"/>
        <w:ind w:left="0" w:leftChars="0" w:firstLine="643" w:firstLineChars="200"/>
        <w:rPr>
          <w:rFonts w:ascii="Times New Roman" w:hAnsi="Times New Roman" w:cs="楷体_GB2312"/>
        </w:rPr>
      </w:pPr>
      <w:r>
        <w:rPr>
          <w:rFonts w:hint="eastAsia" w:ascii="Times New Roman" w:hAnsi="Times New Roman" w:cs="楷体_GB2312"/>
        </w:rPr>
        <w:t>2.培养过程</w:t>
      </w:r>
    </w:p>
    <w:p w14:paraId="4685A8F9">
      <w:pPr>
        <w:pStyle w:val="4"/>
        <w:ind w:firstLine="643"/>
        <w:rPr>
          <w:rFonts w:ascii="Times New Roman" w:hAnsi="Times New Roman"/>
        </w:rPr>
      </w:pPr>
      <w:r>
        <w:rPr>
          <w:rFonts w:hint="eastAsia" w:ascii="Times New Roman" w:hAnsi="Times New Roman" w:cs="仿宋_GB2312"/>
        </w:rPr>
        <w:t xml:space="preserve">2.1 </w:t>
      </w:r>
      <w:r>
        <w:rPr>
          <w:rFonts w:ascii="Times New Roman" w:hAnsi="Times New Roman"/>
        </w:rPr>
        <w:t>培养方案</w:t>
      </w:r>
    </w:p>
    <w:p w14:paraId="16F0C820">
      <w:pPr>
        <w:ind w:firstLine="643"/>
        <w:rPr>
          <w:rFonts w:ascii="Times New Roman" w:hAnsi="Times New Roman"/>
        </w:rPr>
      </w:pPr>
    </w:p>
    <w:p w14:paraId="3B5814AA">
      <w:pPr>
        <w:pStyle w:val="4"/>
        <w:ind w:firstLine="643"/>
        <w:rPr>
          <w:rFonts w:ascii="Times New Roman" w:hAnsi="Times New Roman"/>
        </w:rPr>
      </w:pPr>
      <w:r>
        <w:rPr>
          <w:rFonts w:hint="eastAsia" w:ascii="Times New Roman" w:hAnsi="Times New Roman" w:cs="仿宋_GB2312"/>
        </w:rPr>
        <w:t xml:space="preserve">2.2 </w:t>
      </w:r>
      <w:r>
        <w:rPr>
          <w:rFonts w:ascii="Times New Roman" w:hAnsi="Times New Roman"/>
        </w:rPr>
        <w:t>专业建设</w:t>
      </w:r>
    </w:p>
    <w:p w14:paraId="2FEAE15E">
      <w:pPr>
        <w:pStyle w:val="4"/>
        <w:ind w:firstLine="643"/>
        <w:rPr>
          <w:rFonts w:ascii="Times New Roman" w:hAnsi="Times New Roman"/>
        </w:rPr>
      </w:pPr>
      <w:r>
        <w:rPr>
          <w:rFonts w:hint="eastAsia" w:ascii="Times New Roman" w:hAnsi="Times New Roman" w:cs="仿宋_GB2312"/>
        </w:rPr>
        <w:t xml:space="preserve">2.3 </w:t>
      </w:r>
      <w:r>
        <w:rPr>
          <w:rFonts w:ascii="Times New Roman" w:hAnsi="Times New Roman"/>
        </w:rPr>
        <w:t>实践教学</w:t>
      </w:r>
    </w:p>
    <w:p w14:paraId="60C95E3A">
      <w:pPr>
        <w:pStyle w:val="4"/>
        <w:ind w:firstLine="643"/>
        <w:rPr>
          <w:rFonts w:ascii="Times New Roman" w:hAnsi="Times New Roman"/>
        </w:rPr>
      </w:pPr>
      <w:r>
        <w:rPr>
          <w:rFonts w:hint="eastAsia" w:ascii="Times New Roman" w:hAnsi="Times New Roman" w:cs="仿宋_GB2312"/>
        </w:rPr>
        <w:t xml:space="preserve">2.4 </w:t>
      </w:r>
      <w:r>
        <w:rPr>
          <w:rFonts w:ascii="Times New Roman" w:hAnsi="Times New Roman"/>
        </w:rPr>
        <w:t>课堂教学</w:t>
      </w:r>
    </w:p>
    <w:p w14:paraId="37DCEB23">
      <w:pPr>
        <w:pStyle w:val="4"/>
        <w:ind w:firstLine="643"/>
        <w:rPr>
          <w:rFonts w:ascii="Times New Roman" w:hAnsi="Times New Roman"/>
        </w:rPr>
      </w:pPr>
      <w:r>
        <w:rPr>
          <w:rFonts w:hint="eastAsia" w:ascii="Times New Roman" w:hAnsi="Times New Roman" w:cs="仿宋_GB2312"/>
        </w:rPr>
        <w:t xml:space="preserve">K2.5 </w:t>
      </w:r>
      <w:r>
        <w:rPr>
          <w:rFonts w:ascii="Times New Roman" w:hAnsi="Times New Roman"/>
        </w:rPr>
        <w:t>卓越培养</w:t>
      </w:r>
    </w:p>
    <w:p w14:paraId="19F220F6">
      <w:pPr>
        <w:pStyle w:val="4"/>
        <w:ind w:firstLine="643"/>
        <w:rPr>
          <w:rFonts w:ascii="Times New Roman" w:hAnsi="Times New Roman"/>
        </w:rPr>
      </w:pPr>
      <w:r>
        <w:rPr>
          <w:rFonts w:hint="eastAsia" w:ascii="Times New Roman" w:hAnsi="Times New Roman" w:cs="仿宋_GB2312"/>
        </w:rPr>
        <w:t xml:space="preserve">2.6 </w:t>
      </w:r>
      <w:r>
        <w:rPr>
          <w:rFonts w:ascii="Times New Roman" w:hAnsi="Times New Roman"/>
        </w:rPr>
        <w:t>创新创业教育</w:t>
      </w:r>
    </w:p>
    <w:p w14:paraId="6BFD644F">
      <w:pPr>
        <w:pStyle w:val="4"/>
        <w:ind w:firstLine="643"/>
        <w:rPr>
          <w:rFonts w:ascii="Times New Roman" w:hAnsi="Times New Roman"/>
        </w:rPr>
      </w:pPr>
      <w:r>
        <w:rPr>
          <w:rFonts w:hint="eastAsia" w:ascii="Times New Roman" w:hAnsi="Times New Roman" w:cs="仿宋_GB2312"/>
        </w:rPr>
        <w:t xml:space="preserve">2.7 </w:t>
      </w:r>
      <w:r>
        <w:rPr>
          <w:rFonts w:ascii="Times New Roman" w:hAnsi="Times New Roman"/>
        </w:rPr>
        <w:t>存在的问题、原因分析及下一步整改举措</w:t>
      </w:r>
    </w:p>
    <w:p w14:paraId="7CF77DA7">
      <w:pPr>
        <w:pStyle w:val="3"/>
        <w:ind w:left="0" w:leftChars="0" w:firstLine="643" w:firstLineChars="200"/>
        <w:rPr>
          <w:rFonts w:ascii="Times New Roman" w:hAnsi="Times New Roman" w:cs="楷体_GB2312"/>
        </w:rPr>
      </w:pPr>
      <w:r>
        <w:rPr>
          <w:rFonts w:hint="eastAsia" w:ascii="Times New Roman" w:hAnsi="Times New Roman" w:cs="楷体_GB2312"/>
        </w:rPr>
        <w:t>3.教学资源与利用</w:t>
      </w:r>
    </w:p>
    <w:p w14:paraId="6A0E73AC">
      <w:pPr>
        <w:pStyle w:val="4"/>
        <w:ind w:firstLine="643"/>
        <w:rPr>
          <w:rFonts w:ascii="Times New Roman" w:hAnsi="Times New Roman"/>
          <w:color w:val="FF0000"/>
        </w:rPr>
      </w:pPr>
      <w:r>
        <w:rPr>
          <w:rFonts w:hint="eastAsia" w:ascii="Times New Roman" w:hAnsi="Times New Roman" w:cs="仿宋_GB2312"/>
          <w:color w:val="FF0000"/>
        </w:rPr>
        <w:t xml:space="preserve">X3.1 </w:t>
      </w:r>
      <w:r>
        <w:rPr>
          <w:rFonts w:ascii="Times New Roman" w:hAnsi="Times New Roman"/>
          <w:color w:val="FF0000"/>
        </w:rPr>
        <w:t>设施条件（</w:t>
      </w:r>
      <w:r>
        <w:rPr>
          <w:rFonts w:hint="eastAsia" w:ascii="Times New Roman" w:hAnsi="Times New Roman"/>
          <w:color w:val="FF0000"/>
        </w:rPr>
        <w:t>该指标不用写</w:t>
      </w:r>
      <w:r>
        <w:rPr>
          <w:rFonts w:ascii="Times New Roman" w:hAnsi="Times New Roman"/>
          <w:color w:val="FF0000"/>
        </w:rPr>
        <w:t>）</w:t>
      </w:r>
    </w:p>
    <w:p w14:paraId="062EA9D1">
      <w:pPr>
        <w:pStyle w:val="4"/>
        <w:ind w:firstLine="643"/>
        <w:rPr>
          <w:rFonts w:ascii="Times New Roman" w:hAnsi="Times New Roman"/>
        </w:rPr>
      </w:pPr>
      <w:r>
        <w:rPr>
          <w:rFonts w:hint="eastAsia" w:ascii="Times New Roman" w:hAnsi="Times New Roman" w:cs="仿宋_GB2312"/>
        </w:rPr>
        <w:t xml:space="preserve">3.2 </w:t>
      </w:r>
      <w:r>
        <w:rPr>
          <w:rFonts w:ascii="Times New Roman" w:hAnsi="Times New Roman"/>
        </w:rPr>
        <w:t>资源建设</w:t>
      </w:r>
    </w:p>
    <w:p w14:paraId="1DFF190A">
      <w:pPr>
        <w:pStyle w:val="4"/>
        <w:ind w:firstLine="643"/>
        <w:rPr>
          <w:rFonts w:ascii="Times New Roman" w:hAnsi="Times New Roman"/>
        </w:rPr>
      </w:pPr>
      <w:r>
        <w:rPr>
          <w:rFonts w:hint="eastAsia" w:ascii="Times New Roman" w:hAnsi="Times New Roman" w:cs="仿宋_GB2312"/>
        </w:rPr>
        <w:t xml:space="preserve">3.3 </w:t>
      </w:r>
      <w:r>
        <w:rPr>
          <w:rFonts w:ascii="Times New Roman" w:hAnsi="Times New Roman"/>
        </w:rPr>
        <w:t>存在的问题、原因分析及下一步整改举措</w:t>
      </w:r>
    </w:p>
    <w:p w14:paraId="6E634933">
      <w:pPr>
        <w:pStyle w:val="3"/>
        <w:ind w:left="0" w:leftChars="0" w:firstLine="643" w:firstLineChars="200"/>
        <w:rPr>
          <w:rFonts w:ascii="Times New Roman" w:hAnsi="Times New Roman" w:cs="楷体_GB2312"/>
        </w:rPr>
      </w:pPr>
      <w:r>
        <w:rPr>
          <w:rFonts w:hint="eastAsia" w:ascii="Times New Roman" w:hAnsi="Times New Roman" w:cs="楷体_GB2312"/>
        </w:rPr>
        <w:t>4.教师队伍</w:t>
      </w:r>
    </w:p>
    <w:p w14:paraId="269DB95E">
      <w:pPr>
        <w:pStyle w:val="4"/>
        <w:ind w:firstLine="643"/>
        <w:rPr>
          <w:rFonts w:ascii="Times New Roman" w:hAnsi="Times New Roman"/>
        </w:rPr>
      </w:pPr>
      <w:r>
        <w:rPr>
          <w:rFonts w:hint="eastAsia" w:ascii="Times New Roman" w:hAnsi="Times New Roman" w:cs="仿宋_GB2312"/>
        </w:rPr>
        <w:t xml:space="preserve">4.1 </w:t>
      </w:r>
      <w:r>
        <w:rPr>
          <w:rFonts w:ascii="Times New Roman" w:hAnsi="Times New Roman"/>
        </w:rPr>
        <w:t>师德师风</w:t>
      </w:r>
    </w:p>
    <w:p w14:paraId="79549FD3">
      <w:pPr>
        <w:pStyle w:val="4"/>
        <w:ind w:firstLine="643"/>
        <w:rPr>
          <w:rFonts w:ascii="Times New Roman" w:hAnsi="Times New Roman"/>
        </w:rPr>
      </w:pPr>
      <w:r>
        <w:rPr>
          <w:rFonts w:hint="eastAsia" w:ascii="Times New Roman" w:hAnsi="Times New Roman" w:cs="仿宋_GB2312"/>
        </w:rPr>
        <w:t xml:space="preserve">4.2 </w:t>
      </w:r>
      <w:r>
        <w:rPr>
          <w:rFonts w:ascii="Times New Roman" w:hAnsi="Times New Roman"/>
        </w:rPr>
        <w:t>教学能力</w:t>
      </w:r>
    </w:p>
    <w:p w14:paraId="43BC301F">
      <w:pPr>
        <w:pStyle w:val="4"/>
        <w:ind w:firstLine="643"/>
        <w:rPr>
          <w:rFonts w:ascii="Times New Roman" w:hAnsi="Times New Roman"/>
        </w:rPr>
      </w:pPr>
      <w:r>
        <w:rPr>
          <w:rFonts w:hint="eastAsia" w:ascii="Times New Roman" w:hAnsi="Times New Roman" w:cs="仿宋_GB2312"/>
        </w:rPr>
        <w:t xml:space="preserve">4.3 </w:t>
      </w:r>
      <w:r>
        <w:rPr>
          <w:rFonts w:ascii="Times New Roman" w:hAnsi="Times New Roman"/>
        </w:rPr>
        <w:t>教学投入</w:t>
      </w:r>
    </w:p>
    <w:p w14:paraId="00193AEC">
      <w:pPr>
        <w:pStyle w:val="4"/>
        <w:ind w:firstLine="643"/>
        <w:rPr>
          <w:rFonts w:ascii="Times New Roman" w:hAnsi="Times New Roman"/>
        </w:rPr>
      </w:pPr>
      <w:r>
        <w:rPr>
          <w:rFonts w:hint="eastAsia" w:ascii="Times New Roman" w:hAnsi="Times New Roman" w:cs="仿宋_GB2312"/>
        </w:rPr>
        <w:t xml:space="preserve">4.4 </w:t>
      </w:r>
      <w:r>
        <w:rPr>
          <w:rFonts w:ascii="Times New Roman" w:hAnsi="Times New Roman"/>
        </w:rPr>
        <w:t>教师发展</w:t>
      </w:r>
    </w:p>
    <w:p w14:paraId="24901ADC">
      <w:pPr>
        <w:pStyle w:val="4"/>
        <w:ind w:firstLine="643"/>
        <w:rPr>
          <w:rFonts w:ascii="Times New Roman" w:hAnsi="Times New Roman"/>
        </w:rPr>
      </w:pPr>
      <w:r>
        <w:rPr>
          <w:rFonts w:hint="eastAsia" w:ascii="Times New Roman" w:hAnsi="Times New Roman" w:cs="仿宋_GB2312"/>
        </w:rPr>
        <w:t xml:space="preserve">4.5 </w:t>
      </w:r>
      <w:r>
        <w:rPr>
          <w:rFonts w:ascii="Times New Roman" w:hAnsi="Times New Roman"/>
        </w:rPr>
        <w:t>存在的问题、原因分析及下一步整改举措</w:t>
      </w:r>
    </w:p>
    <w:p w14:paraId="50BFC5E9">
      <w:pPr>
        <w:pStyle w:val="3"/>
        <w:ind w:left="0" w:leftChars="0" w:firstLine="643" w:firstLineChars="200"/>
        <w:rPr>
          <w:rFonts w:ascii="Times New Roman" w:hAnsi="Times New Roman" w:cs="楷体_GB2312"/>
        </w:rPr>
      </w:pPr>
      <w:r>
        <w:rPr>
          <w:rFonts w:hint="eastAsia" w:ascii="Times New Roman" w:hAnsi="Times New Roman" w:cs="楷体_GB2312"/>
        </w:rPr>
        <w:t>5.学生发展</w:t>
      </w:r>
    </w:p>
    <w:p w14:paraId="5D006F41">
      <w:pPr>
        <w:pStyle w:val="4"/>
        <w:ind w:firstLine="643"/>
        <w:rPr>
          <w:rFonts w:ascii="Times New Roman" w:hAnsi="Times New Roman"/>
        </w:rPr>
      </w:pPr>
      <w:r>
        <w:rPr>
          <w:rFonts w:hint="eastAsia" w:ascii="Times New Roman" w:hAnsi="Times New Roman" w:cs="仿宋_GB2312"/>
        </w:rPr>
        <w:t xml:space="preserve">5.1 </w:t>
      </w:r>
      <w:r>
        <w:rPr>
          <w:rFonts w:ascii="Times New Roman" w:hAnsi="Times New Roman"/>
        </w:rPr>
        <w:t>理想信念</w:t>
      </w:r>
    </w:p>
    <w:p w14:paraId="5697D999">
      <w:pPr>
        <w:pStyle w:val="4"/>
        <w:ind w:firstLine="643"/>
        <w:rPr>
          <w:rFonts w:ascii="Times New Roman" w:hAnsi="Times New Roman"/>
        </w:rPr>
      </w:pPr>
      <w:r>
        <w:rPr>
          <w:rFonts w:hint="eastAsia" w:ascii="Times New Roman" w:hAnsi="Times New Roman" w:cs="仿宋_GB2312"/>
        </w:rPr>
        <w:t xml:space="preserve">5.2 </w:t>
      </w:r>
      <w:r>
        <w:rPr>
          <w:rFonts w:ascii="Times New Roman" w:hAnsi="Times New Roman"/>
        </w:rPr>
        <w:t>学业成绩及综合素质</w:t>
      </w:r>
    </w:p>
    <w:p w14:paraId="62959ACD">
      <w:pPr>
        <w:pStyle w:val="4"/>
        <w:ind w:firstLine="643"/>
        <w:rPr>
          <w:rFonts w:ascii="Times New Roman" w:hAnsi="Times New Roman"/>
          <w:color w:val="auto"/>
        </w:rPr>
      </w:pPr>
      <w:r>
        <w:rPr>
          <w:rFonts w:hint="eastAsia" w:ascii="Times New Roman" w:hAnsi="Times New Roman" w:cs="仿宋_GB2312"/>
          <w:color w:val="auto"/>
        </w:rPr>
        <w:t xml:space="preserve">K5.3 </w:t>
      </w:r>
      <w:r>
        <w:rPr>
          <w:rFonts w:ascii="Times New Roman" w:hAnsi="Times New Roman"/>
          <w:color w:val="auto"/>
        </w:rPr>
        <w:t>国际视野（学院自选项）</w:t>
      </w:r>
    </w:p>
    <w:p w14:paraId="1AC23FB6">
      <w:pPr>
        <w:pStyle w:val="4"/>
        <w:ind w:firstLine="643"/>
        <w:rPr>
          <w:rFonts w:ascii="Times New Roman" w:hAnsi="Times New Roman"/>
        </w:rPr>
      </w:pPr>
      <w:r>
        <w:rPr>
          <w:rFonts w:hint="eastAsia" w:ascii="Times New Roman" w:hAnsi="Times New Roman" w:cs="仿宋_GB2312"/>
        </w:rPr>
        <w:t>5.4 支</w:t>
      </w:r>
      <w:r>
        <w:rPr>
          <w:rFonts w:ascii="Times New Roman" w:hAnsi="Times New Roman"/>
        </w:rPr>
        <w:t>持服务</w:t>
      </w:r>
    </w:p>
    <w:p w14:paraId="19E41B00">
      <w:pPr>
        <w:pStyle w:val="4"/>
        <w:ind w:firstLine="643"/>
        <w:rPr>
          <w:rFonts w:ascii="Times New Roman" w:hAnsi="Times New Roman"/>
        </w:rPr>
      </w:pPr>
      <w:r>
        <w:rPr>
          <w:rFonts w:hint="eastAsia" w:ascii="Times New Roman" w:hAnsi="Times New Roman" w:cs="仿宋_GB2312"/>
        </w:rPr>
        <w:t xml:space="preserve">5.5 </w:t>
      </w:r>
      <w:r>
        <w:rPr>
          <w:rFonts w:ascii="Times New Roman" w:hAnsi="Times New Roman"/>
        </w:rPr>
        <w:t>存在的问题、原因分析及下一步整改举措</w:t>
      </w:r>
    </w:p>
    <w:p w14:paraId="0473F9A8">
      <w:pPr>
        <w:pStyle w:val="3"/>
        <w:ind w:left="0" w:leftChars="0" w:firstLine="643" w:firstLineChars="200"/>
        <w:rPr>
          <w:rFonts w:ascii="Times New Roman" w:hAnsi="Times New Roman" w:cs="楷体_GB2312"/>
        </w:rPr>
      </w:pPr>
      <w:r>
        <w:rPr>
          <w:rFonts w:hint="eastAsia" w:ascii="Times New Roman" w:hAnsi="Times New Roman" w:cs="楷体_GB2312"/>
        </w:rPr>
        <w:t>6.质量保障</w:t>
      </w:r>
    </w:p>
    <w:p w14:paraId="49F11D70">
      <w:pPr>
        <w:pStyle w:val="4"/>
        <w:ind w:firstLine="643"/>
        <w:rPr>
          <w:rFonts w:ascii="Times New Roman" w:hAnsi="Times New Roman"/>
        </w:rPr>
      </w:pPr>
      <w:r>
        <w:rPr>
          <w:rFonts w:hint="eastAsia" w:ascii="Times New Roman" w:hAnsi="Times New Roman" w:cs="仿宋_GB2312"/>
        </w:rPr>
        <w:t>6.1 质</w:t>
      </w:r>
      <w:r>
        <w:rPr>
          <w:rFonts w:ascii="Times New Roman" w:hAnsi="Times New Roman"/>
        </w:rPr>
        <w:t>量管理</w:t>
      </w:r>
    </w:p>
    <w:p w14:paraId="236ACC7C">
      <w:pPr>
        <w:pStyle w:val="4"/>
        <w:ind w:firstLine="643"/>
        <w:rPr>
          <w:rFonts w:ascii="Times New Roman" w:hAnsi="Times New Roman"/>
        </w:rPr>
      </w:pPr>
      <w:r>
        <w:rPr>
          <w:rFonts w:hint="eastAsia" w:ascii="Times New Roman" w:hAnsi="Times New Roman" w:cs="仿宋_GB2312"/>
        </w:rPr>
        <w:t xml:space="preserve">6.2 </w:t>
      </w:r>
      <w:r>
        <w:rPr>
          <w:rFonts w:ascii="Times New Roman" w:hAnsi="Times New Roman"/>
        </w:rPr>
        <w:t>质量改进</w:t>
      </w:r>
    </w:p>
    <w:p w14:paraId="4F6F2A53">
      <w:pPr>
        <w:pStyle w:val="4"/>
        <w:ind w:firstLine="643"/>
        <w:rPr>
          <w:rFonts w:ascii="Times New Roman" w:hAnsi="Times New Roman"/>
        </w:rPr>
      </w:pPr>
      <w:r>
        <w:rPr>
          <w:rFonts w:hint="eastAsia" w:ascii="Times New Roman" w:hAnsi="Times New Roman" w:cs="仿宋_GB2312"/>
        </w:rPr>
        <w:t xml:space="preserve">6.3 </w:t>
      </w:r>
      <w:r>
        <w:rPr>
          <w:rFonts w:ascii="Times New Roman" w:hAnsi="Times New Roman"/>
        </w:rPr>
        <w:t>质量文化</w:t>
      </w:r>
    </w:p>
    <w:p w14:paraId="04D6CDB6">
      <w:pPr>
        <w:pStyle w:val="4"/>
        <w:ind w:firstLine="643"/>
        <w:rPr>
          <w:rFonts w:ascii="Times New Roman" w:hAnsi="Times New Roman"/>
        </w:rPr>
      </w:pPr>
      <w:r>
        <w:rPr>
          <w:rFonts w:hint="eastAsia" w:ascii="Times New Roman" w:hAnsi="Times New Roman" w:cs="仿宋_GB2312"/>
        </w:rPr>
        <w:t xml:space="preserve">6.4 </w:t>
      </w:r>
      <w:r>
        <w:rPr>
          <w:rFonts w:ascii="Times New Roman" w:hAnsi="Times New Roman"/>
        </w:rPr>
        <w:t>存在的问题、原因分析及下一步整改举措</w:t>
      </w:r>
    </w:p>
    <w:p w14:paraId="609191C4">
      <w:pPr>
        <w:pStyle w:val="3"/>
        <w:ind w:left="0" w:leftChars="0" w:firstLine="643" w:firstLineChars="200"/>
        <w:rPr>
          <w:rFonts w:ascii="Times New Roman" w:hAnsi="Times New Roman" w:cs="楷体_GB2312"/>
        </w:rPr>
      </w:pPr>
      <w:r>
        <w:rPr>
          <w:rFonts w:hint="eastAsia" w:ascii="Times New Roman" w:hAnsi="Times New Roman" w:cs="楷体_GB2312"/>
        </w:rPr>
        <w:t>7.教学成效</w:t>
      </w:r>
    </w:p>
    <w:p w14:paraId="13BD0FA8">
      <w:pPr>
        <w:pStyle w:val="4"/>
        <w:ind w:firstLine="643"/>
        <w:rPr>
          <w:rFonts w:ascii="Times New Roman" w:hAnsi="Times New Roman"/>
        </w:rPr>
      </w:pPr>
      <w:r>
        <w:rPr>
          <w:rFonts w:hint="eastAsia" w:ascii="Times New Roman" w:hAnsi="Times New Roman" w:cs="仿宋_GB2312"/>
        </w:rPr>
        <w:t xml:space="preserve">7.1 </w:t>
      </w:r>
      <w:r>
        <w:rPr>
          <w:rFonts w:ascii="Times New Roman" w:hAnsi="Times New Roman"/>
        </w:rPr>
        <w:t>达成度</w:t>
      </w:r>
    </w:p>
    <w:p w14:paraId="3EB58E6C">
      <w:pPr>
        <w:pStyle w:val="4"/>
        <w:ind w:firstLine="643"/>
        <w:rPr>
          <w:rFonts w:ascii="Times New Roman" w:hAnsi="Times New Roman"/>
        </w:rPr>
      </w:pPr>
      <w:r>
        <w:rPr>
          <w:rFonts w:hint="eastAsia" w:ascii="Times New Roman" w:hAnsi="Times New Roman" w:cs="仿宋_GB2312"/>
        </w:rPr>
        <w:t xml:space="preserve">7.2 </w:t>
      </w:r>
      <w:r>
        <w:rPr>
          <w:rFonts w:ascii="Times New Roman" w:hAnsi="Times New Roman"/>
        </w:rPr>
        <w:t>适应度</w:t>
      </w:r>
    </w:p>
    <w:p w14:paraId="3A04FF5D">
      <w:pPr>
        <w:pStyle w:val="4"/>
        <w:ind w:firstLine="643"/>
        <w:rPr>
          <w:rFonts w:ascii="Times New Roman" w:hAnsi="Times New Roman"/>
        </w:rPr>
      </w:pPr>
      <w:r>
        <w:rPr>
          <w:rFonts w:hint="eastAsia" w:ascii="Times New Roman" w:hAnsi="Times New Roman" w:cs="仿宋_GB2312"/>
        </w:rPr>
        <w:t xml:space="preserve">7.3 </w:t>
      </w:r>
      <w:r>
        <w:rPr>
          <w:rFonts w:ascii="Times New Roman" w:hAnsi="Times New Roman"/>
        </w:rPr>
        <w:t>保障度</w:t>
      </w:r>
    </w:p>
    <w:p w14:paraId="23014DB2">
      <w:pPr>
        <w:pStyle w:val="4"/>
        <w:ind w:firstLine="643"/>
        <w:rPr>
          <w:rFonts w:ascii="Times New Roman" w:hAnsi="Times New Roman"/>
        </w:rPr>
      </w:pPr>
      <w:r>
        <w:rPr>
          <w:rFonts w:hint="eastAsia" w:ascii="Times New Roman" w:hAnsi="Times New Roman" w:cs="仿宋_GB2312"/>
        </w:rPr>
        <w:t xml:space="preserve">7.4 </w:t>
      </w:r>
      <w:r>
        <w:rPr>
          <w:rFonts w:ascii="Times New Roman" w:hAnsi="Times New Roman"/>
        </w:rPr>
        <w:t>有效度</w:t>
      </w:r>
    </w:p>
    <w:p w14:paraId="27D99F12">
      <w:pPr>
        <w:pStyle w:val="4"/>
        <w:ind w:firstLine="643"/>
        <w:rPr>
          <w:rFonts w:ascii="Times New Roman" w:hAnsi="Times New Roman"/>
        </w:rPr>
      </w:pPr>
      <w:r>
        <w:rPr>
          <w:rFonts w:hint="eastAsia" w:ascii="Times New Roman" w:hAnsi="Times New Roman" w:cs="仿宋_GB2312"/>
        </w:rPr>
        <w:t xml:space="preserve">7.5 </w:t>
      </w:r>
      <w:r>
        <w:rPr>
          <w:rFonts w:ascii="Times New Roman" w:hAnsi="Times New Roman"/>
        </w:rPr>
        <w:t>满意度</w:t>
      </w:r>
    </w:p>
    <w:p w14:paraId="447D4501">
      <w:pPr>
        <w:pStyle w:val="4"/>
        <w:ind w:firstLine="643"/>
        <w:rPr>
          <w:rFonts w:ascii="Times New Roman" w:hAnsi="Times New Roman"/>
        </w:rPr>
      </w:pPr>
      <w:r>
        <w:rPr>
          <w:rFonts w:hint="eastAsia" w:ascii="Times New Roman" w:hAnsi="Times New Roman" w:cs="仿宋_GB2312"/>
        </w:rPr>
        <w:t xml:space="preserve">7.6 </w:t>
      </w:r>
      <w:r>
        <w:rPr>
          <w:rFonts w:ascii="Times New Roman" w:hAnsi="Times New Roman"/>
        </w:rPr>
        <w:t>存在的问题、原因分析及下一步整改举措</w:t>
      </w:r>
    </w:p>
    <w:p w14:paraId="4414AD95">
      <w:pPr>
        <w:ind w:firstLine="640"/>
        <w:rPr>
          <w:rFonts w:hint="eastAsia" w:ascii="Times New Roman" w:hAnsi="Times New Roman" w:eastAsia="黑体"/>
        </w:rPr>
      </w:pPr>
    </w:p>
    <w:p w14:paraId="5DBFE77C">
      <w:pPr>
        <w:ind w:left="0" w:leftChars="0" w:firstLine="0" w:firstLineChars="0"/>
        <w:rPr>
          <w:rFonts w:hint="eastAsia" w:ascii="Times New Roman" w:hAnsi="Times New Roman" w:eastAsia="黑体"/>
        </w:rPr>
      </w:pPr>
    </w:p>
    <w:p w14:paraId="2CA0E75D">
      <w:pPr>
        <w:ind w:left="0" w:leftChars="0" w:firstLine="0" w:firstLineChars="0"/>
        <w:rPr>
          <w:rFonts w:hint="eastAsia" w:ascii="Times New Roman" w:hAnsi="Times New Roman" w:eastAsia="黑体"/>
        </w:rPr>
      </w:pPr>
    </w:p>
    <w:p w14:paraId="76005307">
      <w:pPr>
        <w:ind w:left="0" w:leftChars="0" w:firstLine="0" w:firstLineChars="0"/>
        <w:rPr>
          <w:rFonts w:hint="eastAsia" w:ascii="Times New Roman" w:hAnsi="Times New Roman" w:eastAsia="黑体"/>
        </w:rPr>
      </w:pPr>
    </w:p>
    <w:p w14:paraId="793A165C">
      <w:pPr>
        <w:ind w:left="0" w:leftChars="0" w:firstLine="0" w:firstLineChars="0"/>
        <w:rPr>
          <w:rFonts w:hint="eastAsia" w:ascii="Times New Roman" w:hAnsi="Times New Roman" w:eastAsia="黑体"/>
        </w:rPr>
      </w:pPr>
    </w:p>
    <w:p w14:paraId="1522D660">
      <w:pPr>
        <w:ind w:left="0" w:leftChars="0" w:firstLine="0" w:firstLineChars="0"/>
        <w:rPr>
          <w:rFonts w:hint="eastAsia" w:ascii="Times New Roman" w:hAnsi="Times New Roman" w:eastAsia="黑体"/>
        </w:rPr>
      </w:pPr>
    </w:p>
    <w:p w14:paraId="5C7F4D5F">
      <w:pPr>
        <w:ind w:left="0" w:leftChars="0" w:firstLine="0" w:firstLineChars="0"/>
        <w:rPr>
          <w:rFonts w:hint="eastAsia" w:ascii="Times New Roman" w:hAnsi="Times New Roman" w:eastAsia="黑体"/>
        </w:rPr>
      </w:pPr>
    </w:p>
    <w:p w14:paraId="452E023A">
      <w:pPr>
        <w:ind w:left="0" w:leftChars="0" w:firstLine="0" w:firstLineChars="0"/>
        <w:rPr>
          <w:rFonts w:hint="eastAsia" w:ascii="Times New Roman" w:hAnsi="Times New Roman" w:eastAsia="黑体"/>
        </w:rPr>
      </w:pPr>
    </w:p>
    <w:p w14:paraId="08570632">
      <w:pPr>
        <w:ind w:left="0" w:leftChars="0" w:firstLine="0" w:firstLineChars="0"/>
        <w:rPr>
          <w:rFonts w:ascii="Times New Roman" w:hAnsi="Times New Roman" w:eastAsia="黑体"/>
        </w:rPr>
      </w:pPr>
      <w:r>
        <w:rPr>
          <w:rFonts w:hint="eastAsia" w:ascii="Times New Roman" w:hAnsi="Times New Roman" w:eastAsia="黑体"/>
        </w:rPr>
        <w:t>附</w:t>
      </w:r>
      <w:r>
        <w:rPr>
          <w:rFonts w:ascii="Times New Roman" w:hAnsi="Times New Roman" w:eastAsia="黑体"/>
        </w:rPr>
        <w:t>1</w:t>
      </w:r>
      <w:r>
        <w:rPr>
          <w:rFonts w:hint="eastAsia" w:ascii="Times New Roman" w:hAnsi="Times New Roman" w:eastAsia="黑体"/>
        </w:rPr>
        <w:t>：</w:t>
      </w:r>
      <w:r>
        <w:rPr>
          <w:rFonts w:ascii="Times New Roman" w:hAnsi="Times New Roman" w:eastAsia="黑体"/>
        </w:rPr>
        <w:t>本科教育教学自评问题清单</w:t>
      </w:r>
    </w:p>
    <w:p w14:paraId="0EDD6EF3">
      <w:pPr>
        <w:ind w:firstLine="640"/>
        <w:jc w:val="center"/>
        <w:rPr>
          <w:rFonts w:ascii="Times New Roman" w:hAnsi="Times New Roman" w:eastAsia="黑体"/>
        </w:rPr>
      </w:pPr>
      <w:r>
        <w:rPr>
          <w:rFonts w:hint="eastAsia" w:ascii="Times New Roman" w:hAnsi="Times New Roman" w:eastAsia="黑体"/>
        </w:rPr>
        <w:t>问题清单表（参考格式）</w:t>
      </w:r>
    </w:p>
    <w:tbl>
      <w:tblPr>
        <w:tblStyle w:val="10"/>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985"/>
        <w:gridCol w:w="2126"/>
        <w:gridCol w:w="2746"/>
      </w:tblGrid>
      <w:tr w14:paraId="0723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vAlign w:val="center"/>
          </w:tcPr>
          <w:p w14:paraId="660B4B25">
            <w:pPr>
              <w:ind w:firstLine="0" w:firstLineChars="0"/>
              <w:jc w:val="center"/>
              <w:rPr>
                <w:rFonts w:ascii="Times New Roman" w:hAnsi="Times New Roman" w:eastAsia="宋体"/>
                <w:sz w:val="28"/>
                <w:szCs w:val="28"/>
              </w:rPr>
            </w:pPr>
            <w:r>
              <w:rPr>
                <w:rFonts w:hint="eastAsia" w:ascii="Times New Roman" w:hAnsi="Times New Roman"/>
                <w:sz w:val="28"/>
                <w:szCs w:val="28"/>
              </w:rPr>
              <w:t>问题序号</w:t>
            </w:r>
          </w:p>
        </w:tc>
        <w:tc>
          <w:tcPr>
            <w:tcW w:w="4111" w:type="dxa"/>
            <w:gridSpan w:val="2"/>
            <w:vAlign w:val="center"/>
          </w:tcPr>
          <w:p w14:paraId="34B5BE8B">
            <w:pPr>
              <w:ind w:firstLine="0" w:firstLineChars="0"/>
              <w:jc w:val="center"/>
              <w:rPr>
                <w:rFonts w:ascii="Times New Roman" w:hAnsi="Times New Roman"/>
                <w:sz w:val="28"/>
                <w:szCs w:val="28"/>
              </w:rPr>
            </w:pPr>
            <w:r>
              <w:rPr>
                <w:rFonts w:hint="eastAsia" w:ascii="Times New Roman" w:hAnsi="Times New Roman"/>
                <w:sz w:val="28"/>
                <w:szCs w:val="28"/>
              </w:rPr>
              <w:t>对应的审核指标</w:t>
            </w:r>
          </w:p>
        </w:tc>
        <w:tc>
          <w:tcPr>
            <w:tcW w:w="2746" w:type="dxa"/>
            <w:vMerge w:val="restart"/>
            <w:vAlign w:val="center"/>
          </w:tcPr>
          <w:p w14:paraId="240C7814">
            <w:pPr>
              <w:ind w:firstLine="0" w:firstLineChars="0"/>
              <w:jc w:val="center"/>
              <w:rPr>
                <w:rFonts w:ascii="Times New Roman" w:hAnsi="Times New Roman"/>
                <w:sz w:val="28"/>
                <w:szCs w:val="28"/>
              </w:rPr>
            </w:pPr>
            <w:r>
              <w:rPr>
                <w:rFonts w:hint="eastAsia" w:ascii="Times New Roman" w:hAnsi="Times New Roman"/>
                <w:sz w:val="28"/>
                <w:szCs w:val="28"/>
              </w:rPr>
              <w:t>问题简明表述</w:t>
            </w:r>
          </w:p>
        </w:tc>
      </w:tr>
      <w:tr w14:paraId="716B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continue"/>
          </w:tcPr>
          <w:p w14:paraId="21E1E02F">
            <w:pPr>
              <w:ind w:firstLine="0" w:firstLineChars="0"/>
              <w:jc w:val="center"/>
              <w:rPr>
                <w:rFonts w:ascii="Times New Roman" w:hAnsi="Times New Roman" w:eastAsia="黑体"/>
                <w:sz w:val="28"/>
                <w:szCs w:val="28"/>
              </w:rPr>
            </w:pPr>
          </w:p>
        </w:tc>
        <w:tc>
          <w:tcPr>
            <w:tcW w:w="1985" w:type="dxa"/>
          </w:tcPr>
          <w:p w14:paraId="62204E9B">
            <w:pPr>
              <w:ind w:firstLine="0" w:firstLineChars="0"/>
              <w:jc w:val="center"/>
              <w:rPr>
                <w:rFonts w:ascii="Times New Roman" w:hAnsi="Times New Roman"/>
                <w:sz w:val="28"/>
                <w:szCs w:val="28"/>
              </w:rPr>
            </w:pPr>
            <w:r>
              <w:rPr>
                <w:rFonts w:hint="eastAsia" w:ascii="Times New Roman" w:hAnsi="Times New Roman"/>
                <w:sz w:val="28"/>
                <w:szCs w:val="28"/>
              </w:rPr>
              <w:t>一级指标</w:t>
            </w:r>
          </w:p>
        </w:tc>
        <w:tc>
          <w:tcPr>
            <w:tcW w:w="2126" w:type="dxa"/>
          </w:tcPr>
          <w:p w14:paraId="1BFE6B43">
            <w:pPr>
              <w:ind w:firstLine="0" w:firstLineChars="0"/>
              <w:jc w:val="center"/>
              <w:rPr>
                <w:rFonts w:ascii="Times New Roman" w:hAnsi="Times New Roman"/>
                <w:sz w:val="28"/>
                <w:szCs w:val="28"/>
              </w:rPr>
            </w:pPr>
            <w:r>
              <w:rPr>
                <w:rFonts w:hint="eastAsia" w:ascii="Times New Roman" w:hAnsi="Times New Roman"/>
                <w:sz w:val="28"/>
                <w:szCs w:val="28"/>
              </w:rPr>
              <w:t>二级指标</w:t>
            </w:r>
          </w:p>
        </w:tc>
        <w:tc>
          <w:tcPr>
            <w:tcW w:w="2746" w:type="dxa"/>
            <w:vMerge w:val="continue"/>
          </w:tcPr>
          <w:p w14:paraId="102C6C36">
            <w:pPr>
              <w:ind w:firstLine="0" w:firstLineChars="0"/>
              <w:jc w:val="center"/>
              <w:rPr>
                <w:rFonts w:ascii="Times New Roman" w:hAnsi="Times New Roman"/>
                <w:sz w:val="28"/>
                <w:szCs w:val="28"/>
              </w:rPr>
            </w:pPr>
          </w:p>
        </w:tc>
      </w:tr>
      <w:tr w14:paraId="2FE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tcPr>
          <w:p w14:paraId="42EF74B9">
            <w:pPr>
              <w:ind w:firstLine="0" w:firstLineChars="0"/>
              <w:rPr>
                <w:rFonts w:ascii="Times New Roman" w:hAnsi="Times New Roman"/>
              </w:rPr>
            </w:pPr>
          </w:p>
        </w:tc>
        <w:tc>
          <w:tcPr>
            <w:tcW w:w="1985" w:type="dxa"/>
          </w:tcPr>
          <w:p w14:paraId="2599F96F">
            <w:pPr>
              <w:ind w:firstLine="0" w:firstLineChars="0"/>
              <w:rPr>
                <w:rFonts w:ascii="Times New Roman" w:hAnsi="Times New Roman"/>
              </w:rPr>
            </w:pPr>
          </w:p>
        </w:tc>
        <w:tc>
          <w:tcPr>
            <w:tcW w:w="2126" w:type="dxa"/>
          </w:tcPr>
          <w:p w14:paraId="3DBCFAF4">
            <w:pPr>
              <w:ind w:firstLine="0" w:firstLineChars="0"/>
              <w:rPr>
                <w:rFonts w:ascii="Times New Roman" w:hAnsi="Times New Roman"/>
              </w:rPr>
            </w:pPr>
          </w:p>
        </w:tc>
        <w:tc>
          <w:tcPr>
            <w:tcW w:w="2746" w:type="dxa"/>
          </w:tcPr>
          <w:p w14:paraId="4C0923AC">
            <w:pPr>
              <w:ind w:firstLine="0" w:firstLineChars="0"/>
              <w:rPr>
                <w:rFonts w:ascii="Times New Roman" w:hAnsi="Times New Roman"/>
              </w:rPr>
            </w:pPr>
          </w:p>
        </w:tc>
      </w:tr>
      <w:tr w14:paraId="57EB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tcPr>
          <w:p w14:paraId="57A4EC5F">
            <w:pPr>
              <w:ind w:firstLine="0" w:firstLineChars="0"/>
              <w:rPr>
                <w:rFonts w:ascii="Times New Roman" w:hAnsi="Times New Roman"/>
              </w:rPr>
            </w:pPr>
          </w:p>
        </w:tc>
        <w:tc>
          <w:tcPr>
            <w:tcW w:w="1985" w:type="dxa"/>
          </w:tcPr>
          <w:p w14:paraId="0C951D77">
            <w:pPr>
              <w:ind w:firstLine="0" w:firstLineChars="0"/>
              <w:rPr>
                <w:rFonts w:ascii="Times New Roman" w:hAnsi="Times New Roman"/>
              </w:rPr>
            </w:pPr>
          </w:p>
        </w:tc>
        <w:tc>
          <w:tcPr>
            <w:tcW w:w="2126" w:type="dxa"/>
          </w:tcPr>
          <w:p w14:paraId="2B7FD644">
            <w:pPr>
              <w:ind w:firstLine="0" w:firstLineChars="0"/>
              <w:rPr>
                <w:rFonts w:ascii="Times New Roman" w:hAnsi="Times New Roman"/>
              </w:rPr>
            </w:pPr>
          </w:p>
        </w:tc>
        <w:tc>
          <w:tcPr>
            <w:tcW w:w="2746" w:type="dxa"/>
          </w:tcPr>
          <w:p w14:paraId="17C42906">
            <w:pPr>
              <w:ind w:firstLine="0" w:firstLineChars="0"/>
              <w:rPr>
                <w:rFonts w:ascii="Times New Roman" w:hAnsi="Times New Roman"/>
              </w:rPr>
            </w:pPr>
          </w:p>
        </w:tc>
      </w:tr>
      <w:tr w14:paraId="0150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tcPr>
          <w:p w14:paraId="3784C7F8">
            <w:pPr>
              <w:ind w:firstLine="0" w:firstLineChars="0"/>
              <w:rPr>
                <w:rFonts w:ascii="Times New Roman" w:hAnsi="Times New Roman"/>
              </w:rPr>
            </w:pPr>
          </w:p>
        </w:tc>
        <w:tc>
          <w:tcPr>
            <w:tcW w:w="1985" w:type="dxa"/>
          </w:tcPr>
          <w:p w14:paraId="244DD829">
            <w:pPr>
              <w:ind w:firstLine="0" w:firstLineChars="0"/>
              <w:rPr>
                <w:rFonts w:ascii="Times New Roman" w:hAnsi="Times New Roman"/>
              </w:rPr>
            </w:pPr>
          </w:p>
        </w:tc>
        <w:tc>
          <w:tcPr>
            <w:tcW w:w="2126" w:type="dxa"/>
          </w:tcPr>
          <w:p w14:paraId="0F131E9A">
            <w:pPr>
              <w:ind w:firstLine="0" w:firstLineChars="0"/>
              <w:rPr>
                <w:rFonts w:ascii="Times New Roman" w:hAnsi="Times New Roman"/>
              </w:rPr>
            </w:pPr>
          </w:p>
        </w:tc>
        <w:tc>
          <w:tcPr>
            <w:tcW w:w="2746" w:type="dxa"/>
          </w:tcPr>
          <w:p w14:paraId="5713C3F1">
            <w:pPr>
              <w:ind w:firstLine="0" w:firstLineChars="0"/>
              <w:rPr>
                <w:rFonts w:ascii="Times New Roman" w:hAnsi="Times New Roman"/>
              </w:rPr>
            </w:pPr>
          </w:p>
        </w:tc>
      </w:tr>
    </w:tbl>
    <w:p w14:paraId="353D9FB5">
      <w:pPr>
        <w:adjustRightInd w:val="0"/>
        <w:snapToGrid w:val="0"/>
        <w:ind w:left="0" w:leftChars="0" w:firstLine="0" w:firstLineChars="0"/>
        <w:rPr>
          <w:rFonts w:hint="eastAsia" w:ascii="Times New Roman" w:hAnsi="Times New Roman" w:eastAsia="黑体"/>
        </w:rPr>
      </w:pPr>
    </w:p>
    <w:p w14:paraId="47CC42E7">
      <w:pPr>
        <w:adjustRightInd w:val="0"/>
        <w:snapToGrid w:val="0"/>
        <w:ind w:left="0" w:leftChars="0" w:firstLine="0" w:firstLineChars="0"/>
        <w:rPr>
          <w:rFonts w:hint="eastAsia" w:ascii="Times New Roman" w:hAnsi="Times New Roman" w:eastAsia="黑体"/>
        </w:rPr>
      </w:pPr>
    </w:p>
    <w:p w14:paraId="7F9B53EA">
      <w:pPr>
        <w:adjustRightInd w:val="0"/>
        <w:snapToGrid w:val="0"/>
        <w:ind w:left="0" w:leftChars="0" w:firstLine="0" w:firstLineChars="0"/>
        <w:rPr>
          <w:rFonts w:hint="eastAsia" w:ascii="Times New Roman" w:hAnsi="Times New Roman" w:eastAsia="黑体"/>
        </w:rPr>
      </w:pPr>
    </w:p>
    <w:p w14:paraId="2EA1370E">
      <w:pPr>
        <w:adjustRightInd w:val="0"/>
        <w:snapToGrid w:val="0"/>
        <w:ind w:left="0" w:leftChars="0" w:firstLine="0" w:firstLineChars="0"/>
        <w:rPr>
          <w:rFonts w:hint="eastAsia" w:ascii="Times New Roman" w:hAnsi="Times New Roman" w:eastAsia="黑体"/>
        </w:rPr>
      </w:pPr>
    </w:p>
    <w:p w14:paraId="56683986">
      <w:pPr>
        <w:adjustRightInd w:val="0"/>
        <w:snapToGrid w:val="0"/>
        <w:ind w:left="0" w:leftChars="0" w:firstLine="0" w:firstLineChars="0"/>
        <w:rPr>
          <w:rFonts w:hint="eastAsia" w:ascii="Times New Roman" w:hAnsi="Times New Roman" w:eastAsia="黑体"/>
        </w:rPr>
      </w:pPr>
    </w:p>
    <w:p w14:paraId="79C31633">
      <w:pPr>
        <w:adjustRightInd w:val="0"/>
        <w:snapToGrid w:val="0"/>
        <w:ind w:left="0" w:leftChars="0" w:firstLine="0" w:firstLineChars="0"/>
        <w:rPr>
          <w:rFonts w:hint="eastAsia" w:ascii="Times New Roman" w:hAnsi="Times New Roman" w:eastAsia="黑体"/>
        </w:rPr>
      </w:pPr>
    </w:p>
    <w:p w14:paraId="2C07FDBA">
      <w:pPr>
        <w:adjustRightInd w:val="0"/>
        <w:snapToGrid w:val="0"/>
        <w:ind w:left="0" w:leftChars="0" w:firstLine="0" w:firstLineChars="0"/>
        <w:rPr>
          <w:rFonts w:hint="eastAsia" w:ascii="Times New Roman" w:hAnsi="Times New Roman" w:eastAsia="黑体"/>
        </w:rPr>
      </w:pPr>
    </w:p>
    <w:p w14:paraId="79B0F9D4">
      <w:pPr>
        <w:adjustRightInd w:val="0"/>
        <w:snapToGrid w:val="0"/>
        <w:ind w:left="0" w:leftChars="0" w:firstLine="0" w:firstLineChars="0"/>
        <w:rPr>
          <w:rFonts w:hint="eastAsia" w:ascii="Times New Roman" w:hAnsi="Times New Roman" w:eastAsia="黑体"/>
        </w:rPr>
      </w:pPr>
    </w:p>
    <w:p w14:paraId="0E45EE80">
      <w:pPr>
        <w:adjustRightInd w:val="0"/>
        <w:snapToGrid w:val="0"/>
        <w:ind w:left="0" w:leftChars="0" w:firstLine="0" w:firstLineChars="0"/>
        <w:rPr>
          <w:rFonts w:hint="eastAsia" w:ascii="Times New Roman" w:hAnsi="Times New Roman" w:eastAsia="黑体"/>
        </w:rPr>
      </w:pPr>
    </w:p>
    <w:p w14:paraId="52163622">
      <w:pPr>
        <w:adjustRightInd w:val="0"/>
        <w:snapToGrid w:val="0"/>
        <w:ind w:left="0" w:leftChars="0" w:firstLine="0" w:firstLineChars="0"/>
        <w:rPr>
          <w:rFonts w:hint="eastAsia" w:ascii="Times New Roman" w:hAnsi="Times New Roman" w:eastAsia="黑体"/>
        </w:rPr>
      </w:pPr>
    </w:p>
    <w:p w14:paraId="02C0472E">
      <w:pPr>
        <w:adjustRightInd w:val="0"/>
        <w:snapToGrid w:val="0"/>
        <w:ind w:left="0" w:leftChars="0" w:firstLine="0" w:firstLineChars="0"/>
        <w:rPr>
          <w:rFonts w:hint="eastAsia" w:ascii="Times New Roman" w:hAnsi="Times New Roman" w:eastAsia="黑体"/>
        </w:rPr>
      </w:pPr>
    </w:p>
    <w:p w14:paraId="129C40AE">
      <w:pPr>
        <w:adjustRightInd w:val="0"/>
        <w:snapToGrid w:val="0"/>
        <w:ind w:left="0" w:leftChars="0" w:firstLine="0" w:firstLineChars="0"/>
        <w:rPr>
          <w:rFonts w:hint="eastAsia" w:ascii="Times New Roman" w:hAnsi="Times New Roman" w:eastAsia="黑体"/>
        </w:rPr>
      </w:pPr>
    </w:p>
    <w:p w14:paraId="36FA2DFC">
      <w:pPr>
        <w:adjustRightInd w:val="0"/>
        <w:snapToGrid w:val="0"/>
        <w:ind w:left="0" w:leftChars="0" w:firstLine="0" w:firstLineChars="0"/>
        <w:rPr>
          <w:rFonts w:hint="eastAsia" w:ascii="Times New Roman" w:hAnsi="Times New Roman" w:eastAsia="黑体"/>
        </w:rPr>
      </w:pPr>
    </w:p>
    <w:p w14:paraId="6939E28D">
      <w:pPr>
        <w:adjustRightInd w:val="0"/>
        <w:snapToGrid w:val="0"/>
        <w:ind w:left="0" w:leftChars="0" w:firstLine="0" w:firstLineChars="0"/>
        <w:rPr>
          <w:rFonts w:hint="eastAsia" w:ascii="Times New Roman" w:hAnsi="Times New Roman" w:eastAsia="黑体"/>
        </w:rPr>
      </w:pPr>
    </w:p>
    <w:p w14:paraId="0C30FFCE">
      <w:pPr>
        <w:adjustRightInd w:val="0"/>
        <w:snapToGrid w:val="0"/>
        <w:ind w:left="0" w:leftChars="0" w:firstLine="0" w:firstLineChars="0"/>
        <w:rPr>
          <w:rFonts w:hint="eastAsia" w:ascii="Times New Roman" w:hAnsi="Times New Roman" w:eastAsia="黑体"/>
        </w:rPr>
      </w:pPr>
    </w:p>
    <w:p w14:paraId="004728D2">
      <w:pPr>
        <w:adjustRightInd w:val="0"/>
        <w:snapToGrid w:val="0"/>
        <w:ind w:left="0" w:leftChars="0" w:firstLine="0" w:firstLineChars="0"/>
        <w:rPr>
          <w:rFonts w:hint="eastAsia" w:ascii="Times New Roman" w:hAnsi="Times New Roman" w:eastAsia="黑体"/>
        </w:rPr>
      </w:pPr>
    </w:p>
    <w:p w14:paraId="5F3B3F98">
      <w:pPr>
        <w:pStyle w:val="4"/>
        <w:bidi w:val="0"/>
        <w:ind w:left="0" w:leftChars="0" w:firstLine="0" w:firstLineChars="0"/>
        <w:rPr>
          <w:rFonts w:hint="default" w:ascii="仿宋_GB2312" w:hAnsi="仿宋_GB2312" w:eastAsia="仿宋_GB2312" w:cs="仿宋_GB2312"/>
          <w:b/>
          <w:bCs/>
          <w:sz w:val="30"/>
          <w:szCs w:val="30"/>
          <w:lang w:val="en-US"/>
        </w:rPr>
      </w:pPr>
      <w:r>
        <w:rPr>
          <w:rFonts w:hint="eastAsia" w:ascii="Times New Roman" w:hAnsi="Times New Roman" w:eastAsia="黑体" w:cstheme="minorBidi"/>
          <w:b w:val="0"/>
          <w:bCs w:val="0"/>
          <w:kern w:val="2"/>
          <w:sz w:val="32"/>
          <w:szCs w:val="22"/>
          <w:lang w:val="en-US" w:eastAsia="zh-CN" w:bidi="ar-SA"/>
        </w:rPr>
        <w:t>附2：支撑材料目录（示例如下）</w:t>
      </w:r>
    </w:p>
    <w:p w14:paraId="747A0D7E">
      <w:pPr>
        <w:adjustRightInd w:val="0"/>
        <w:snapToGrid w:val="0"/>
        <w:ind w:left="0" w:leftChars="0" w:firstLine="0" w:firstLineChars="0"/>
        <w:rPr>
          <w:rFonts w:hint="eastAsia" w:ascii="Times New Roman" w:hAnsi="Times New Roman" w:eastAsia="黑体"/>
          <w:lang w:val="en-US" w:eastAsia="zh-CN"/>
        </w:rPr>
      </w:pPr>
      <w:r>
        <w:rPr>
          <w:rFonts w:hint="eastAsia" w:ascii="Times New Roman" w:hAnsi="Times New Roman" w:eastAsia="黑体"/>
          <w:lang w:val="en-US" w:eastAsia="zh-CN"/>
        </w:rPr>
        <w:t>1.1-1</w:t>
      </w:r>
    </w:p>
    <w:p w14:paraId="0F95AE6B">
      <w:pPr>
        <w:adjustRightInd w:val="0"/>
        <w:snapToGrid w:val="0"/>
        <w:ind w:left="0" w:leftChars="0" w:firstLine="0" w:firstLineChars="0"/>
        <w:rPr>
          <w:rFonts w:hint="eastAsia" w:ascii="Times New Roman" w:hAnsi="Times New Roman" w:eastAsia="黑体"/>
          <w:lang w:val="en-US" w:eastAsia="zh-CN"/>
        </w:rPr>
      </w:pPr>
      <w:r>
        <w:rPr>
          <w:rFonts w:hint="eastAsia" w:ascii="Times New Roman" w:hAnsi="Times New Roman" w:eastAsia="黑体"/>
          <w:lang w:val="en-US" w:eastAsia="zh-CN"/>
        </w:rPr>
        <w:t>1.1-2</w:t>
      </w:r>
    </w:p>
    <w:p w14:paraId="076AF271">
      <w:pPr>
        <w:adjustRightInd w:val="0"/>
        <w:snapToGrid w:val="0"/>
        <w:ind w:left="0" w:leftChars="0" w:firstLine="0" w:firstLineChars="0"/>
        <w:rPr>
          <w:rFonts w:hint="default" w:ascii="Times New Roman" w:hAnsi="Times New Roman" w:eastAsia="黑体"/>
          <w:lang w:val="en-US" w:eastAsia="zh-CN"/>
        </w:rPr>
      </w:pPr>
      <w:r>
        <w:rPr>
          <w:rFonts w:hint="eastAsia" w:ascii="Times New Roman" w:hAnsi="Times New Roman" w:eastAsia="黑体"/>
          <w:lang w:val="en-US" w:eastAsia="zh-CN"/>
        </w:rPr>
        <w:t>1.2-1</w:t>
      </w:r>
    </w:p>
    <w:p w14:paraId="1B2DFEDC">
      <w:pPr>
        <w:adjustRightInd w:val="0"/>
        <w:snapToGrid w:val="0"/>
        <w:ind w:left="0" w:leftChars="0" w:firstLine="0" w:firstLineChars="0"/>
        <w:rPr>
          <w:rFonts w:hint="default" w:ascii="Times New Roman" w:hAnsi="Times New Roman" w:eastAsia="黑体"/>
          <w:lang w:val="en-US" w:eastAsia="zh-CN"/>
        </w:rPr>
      </w:pPr>
      <w:r>
        <w:rPr>
          <w:rFonts w:hint="eastAsia" w:ascii="Times New Roman" w:hAnsi="Times New Roman" w:eastAsia="黑体"/>
          <w:lang w:val="en-US" w:eastAsia="zh-CN"/>
        </w:rPr>
        <w:t>。。。。。。</w:t>
      </w:r>
    </w:p>
    <w:p w14:paraId="01D931AE">
      <w:pPr>
        <w:adjustRightInd w:val="0"/>
        <w:snapToGrid w:val="0"/>
        <w:ind w:left="0" w:leftChars="0" w:firstLine="0" w:firstLineChars="0"/>
        <w:rPr>
          <w:rFonts w:hint="eastAsia" w:ascii="Times New Roman" w:hAnsi="Times New Roman" w:eastAsia="黑体"/>
        </w:rPr>
      </w:pPr>
    </w:p>
    <w:p w14:paraId="79E618B7">
      <w:pPr>
        <w:adjustRightInd w:val="0"/>
        <w:snapToGrid w:val="0"/>
        <w:ind w:left="0" w:leftChars="0" w:firstLine="0" w:firstLineChars="0"/>
        <w:rPr>
          <w:rFonts w:hint="eastAsia" w:ascii="Times New Roman" w:hAnsi="Times New Roman" w:eastAsia="黑体"/>
        </w:rPr>
      </w:pPr>
    </w:p>
    <w:p w14:paraId="4096903D">
      <w:pPr>
        <w:adjustRightInd w:val="0"/>
        <w:snapToGrid w:val="0"/>
        <w:ind w:left="0" w:leftChars="0" w:firstLine="0" w:firstLineChars="0"/>
        <w:rPr>
          <w:rFonts w:hint="eastAsia" w:ascii="Times New Roman" w:hAnsi="Times New Roman" w:eastAsia="黑体"/>
        </w:rPr>
      </w:pPr>
    </w:p>
    <w:p w14:paraId="0019C263">
      <w:pPr>
        <w:adjustRightInd w:val="0"/>
        <w:snapToGrid w:val="0"/>
        <w:ind w:left="0" w:leftChars="0" w:firstLine="0" w:firstLineChars="0"/>
        <w:rPr>
          <w:rFonts w:hint="eastAsia" w:ascii="Times New Roman" w:hAnsi="Times New Roman" w:eastAsia="黑体"/>
        </w:rPr>
      </w:pPr>
    </w:p>
    <w:p w14:paraId="195AA65A">
      <w:pPr>
        <w:adjustRightInd w:val="0"/>
        <w:snapToGrid w:val="0"/>
        <w:ind w:left="0" w:leftChars="0" w:firstLine="0" w:firstLineChars="0"/>
        <w:rPr>
          <w:rFonts w:hint="eastAsia" w:ascii="Times New Roman" w:hAnsi="Times New Roman" w:eastAsia="黑体"/>
        </w:rPr>
      </w:pPr>
    </w:p>
    <w:p w14:paraId="45498A8F">
      <w:pPr>
        <w:adjustRightInd w:val="0"/>
        <w:snapToGrid w:val="0"/>
        <w:ind w:left="0" w:leftChars="0" w:firstLine="0" w:firstLineChars="0"/>
        <w:rPr>
          <w:rFonts w:hint="eastAsia" w:ascii="Times New Roman" w:hAnsi="Times New Roman" w:eastAsia="黑体"/>
        </w:rPr>
      </w:pPr>
    </w:p>
    <w:p w14:paraId="3E93F70E">
      <w:pPr>
        <w:adjustRightInd w:val="0"/>
        <w:snapToGrid w:val="0"/>
        <w:ind w:left="0" w:leftChars="0" w:firstLine="0" w:firstLineChars="0"/>
        <w:rPr>
          <w:rFonts w:hint="eastAsia" w:ascii="Times New Roman" w:hAnsi="Times New Roman" w:eastAsia="黑体"/>
        </w:rPr>
      </w:pPr>
    </w:p>
    <w:p w14:paraId="4D6C8229">
      <w:pPr>
        <w:adjustRightInd w:val="0"/>
        <w:snapToGrid w:val="0"/>
        <w:ind w:left="0" w:leftChars="0" w:firstLine="0" w:firstLineChars="0"/>
        <w:rPr>
          <w:rFonts w:hint="eastAsia" w:ascii="Times New Roman" w:hAnsi="Times New Roman" w:eastAsia="黑体"/>
        </w:rPr>
      </w:pPr>
    </w:p>
    <w:p w14:paraId="7D5FF6A9">
      <w:pPr>
        <w:adjustRightInd w:val="0"/>
        <w:snapToGrid w:val="0"/>
        <w:ind w:left="0" w:leftChars="0" w:firstLine="0" w:firstLineChars="0"/>
        <w:rPr>
          <w:rFonts w:hint="eastAsia" w:ascii="Times New Roman" w:hAnsi="Times New Roman" w:eastAsia="黑体"/>
        </w:rPr>
      </w:pPr>
    </w:p>
    <w:p w14:paraId="703E399E">
      <w:pPr>
        <w:adjustRightInd w:val="0"/>
        <w:snapToGrid w:val="0"/>
        <w:ind w:left="0" w:leftChars="0" w:firstLine="0" w:firstLineChars="0"/>
        <w:rPr>
          <w:rFonts w:hint="eastAsia" w:ascii="Times New Roman" w:hAnsi="Times New Roman" w:eastAsia="黑体"/>
        </w:rPr>
      </w:pPr>
    </w:p>
    <w:p w14:paraId="358B8719">
      <w:pPr>
        <w:adjustRightInd w:val="0"/>
        <w:snapToGrid w:val="0"/>
        <w:ind w:left="0" w:leftChars="0" w:firstLine="0" w:firstLineChars="0"/>
        <w:rPr>
          <w:rFonts w:hint="eastAsia" w:ascii="Times New Roman" w:hAnsi="Times New Roman" w:eastAsia="黑体"/>
        </w:rPr>
      </w:pPr>
    </w:p>
    <w:p w14:paraId="20C1C5D4">
      <w:pPr>
        <w:adjustRightInd w:val="0"/>
        <w:snapToGrid w:val="0"/>
        <w:ind w:left="0" w:leftChars="0" w:firstLine="0" w:firstLineChars="0"/>
        <w:rPr>
          <w:rFonts w:hint="eastAsia" w:ascii="Times New Roman" w:hAnsi="Times New Roman" w:eastAsia="黑体"/>
        </w:rPr>
      </w:pPr>
    </w:p>
    <w:p w14:paraId="6A5A6959">
      <w:pPr>
        <w:adjustRightInd w:val="0"/>
        <w:snapToGrid w:val="0"/>
        <w:ind w:left="0" w:leftChars="0" w:firstLine="0" w:firstLineChars="0"/>
        <w:rPr>
          <w:rFonts w:hint="eastAsia" w:ascii="Times New Roman" w:hAnsi="Times New Roman" w:eastAsia="黑体"/>
        </w:rPr>
      </w:pPr>
    </w:p>
    <w:p w14:paraId="1BCA3484">
      <w:pPr>
        <w:adjustRightInd w:val="0"/>
        <w:snapToGrid w:val="0"/>
        <w:ind w:left="0" w:leftChars="0" w:firstLine="0" w:firstLineChars="0"/>
        <w:rPr>
          <w:rFonts w:hint="eastAsia" w:ascii="Times New Roman" w:hAnsi="Times New Roman" w:eastAsia="黑体"/>
        </w:rPr>
      </w:pPr>
    </w:p>
    <w:p w14:paraId="3C5DD0D9">
      <w:pPr>
        <w:adjustRightInd w:val="0"/>
        <w:snapToGrid w:val="0"/>
        <w:ind w:left="0" w:leftChars="0" w:firstLine="0" w:firstLineChars="0"/>
        <w:rPr>
          <w:rFonts w:hint="eastAsia" w:ascii="Times New Roman" w:hAnsi="Times New Roman" w:eastAsia="黑体"/>
        </w:rPr>
      </w:pPr>
    </w:p>
    <w:p w14:paraId="4B8031FB">
      <w:pPr>
        <w:adjustRightInd w:val="0"/>
        <w:snapToGrid w:val="0"/>
        <w:ind w:left="0" w:leftChars="0" w:firstLine="0" w:firstLineChars="0"/>
        <w:rPr>
          <w:rFonts w:hint="eastAsia" w:ascii="Times New Roman" w:hAnsi="Times New Roman" w:eastAsia="黑体"/>
        </w:rPr>
      </w:pPr>
    </w:p>
    <w:p w14:paraId="1BD66EDA">
      <w:pPr>
        <w:adjustRightInd w:val="0"/>
        <w:snapToGrid w:val="0"/>
        <w:ind w:left="0" w:leftChars="0" w:firstLine="0" w:firstLineChars="0"/>
        <w:rPr>
          <w:rFonts w:hint="eastAsia" w:ascii="Times New Roman" w:hAnsi="Times New Roman" w:eastAsia="黑体"/>
        </w:rPr>
      </w:pPr>
    </w:p>
    <w:p w14:paraId="06B8CB03">
      <w:pPr>
        <w:adjustRightInd w:val="0"/>
        <w:snapToGrid w:val="0"/>
        <w:ind w:left="0" w:leftChars="0" w:firstLine="0" w:firstLineChars="0"/>
        <w:rPr>
          <w:rFonts w:hint="eastAsia" w:ascii="Times New Roman" w:hAnsi="Times New Roman" w:eastAsia="黑体"/>
        </w:rPr>
      </w:pPr>
    </w:p>
    <w:p w14:paraId="5512AD7B">
      <w:pPr>
        <w:adjustRightInd w:val="0"/>
        <w:snapToGrid w:val="0"/>
        <w:ind w:left="0" w:leftChars="0" w:firstLine="0" w:firstLineChars="0"/>
        <w:rPr>
          <w:rFonts w:hint="eastAsia" w:ascii="Times New Roman" w:hAnsi="Times New Roman" w:eastAsia="黑体"/>
        </w:rPr>
      </w:pPr>
      <w:bookmarkStart w:id="0" w:name="_GoBack"/>
      <w:bookmarkEnd w:id="0"/>
    </w:p>
    <w:p w14:paraId="270777EC">
      <w:pPr>
        <w:adjustRightInd w:val="0"/>
        <w:snapToGrid w:val="0"/>
        <w:ind w:left="0" w:leftChars="0" w:firstLine="0" w:firstLineChars="0"/>
        <w:rPr>
          <w:rFonts w:hint="default" w:ascii="方正小标宋简体" w:hAnsi="方正小标宋简体" w:eastAsia="黑体" w:cs="方正小标宋简体"/>
          <w:bCs/>
          <w:color w:val="FF0000"/>
          <w:sz w:val="44"/>
          <w:szCs w:val="44"/>
          <w:lang w:val="en-US" w:eastAsia="zh-CN"/>
        </w:rPr>
      </w:pPr>
      <w:r>
        <w:rPr>
          <w:rFonts w:hint="eastAsia" w:ascii="Times New Roman" w:hAnsi="Times New Roman" w:eastAsia="黑体"/>
        </w:rPr>
        <w:t>附</w:t>
      </w:r>
      <w:r>
        <w:rPr>
          <w:rFonts w:hint="eastAsia" w:ascii="Times New Roman" w:hAnsi="Times New Roman" w:eastAsia="黑体"/>
          <w:lang w:val="en-US" w:eastAsia="zh-CN"/>
        </w:rPr>
        <w:t>3</w:t>
      </w:r>
      <w:r>
        <w:rPr>
          <w:rFonts w:hint="eastAsia" w:ascii="Times New Roman" w:hAnsi="Times New Roman" w:eastAsia="黑体"/>
        </w:rPr>
        <w:t>：</w:t>
      </w:r>
      <w:r>
        <w:rPr>
          <w:rFonts w:hint="eastAsia" w:ascii="Times New Roman" w:hAnsi="Times New Roman" w:eastAsia="黑体"/>
          <w:lang w:val="en-US" w:eastAsia="zh-CN"/>
        </w:rPr>
        <w:t>浙江工商大学</w:t>
      </w:r>
      <w:r>
        <w:rPr>
          <w:rFonts w:hint="eastAsia" w:ascii="Times New Roman" w:hAnsi="Times New Roman" w:eastAsia="黑体"/>
        </w:rPr>
        <w:t>本科教育教学审核评估指标体系</w:t>
      </w:r>
    </w:p>
    <w:tbl>
      <w:tblPr>
        <w:tblStyle w:val="9"/>
        <w:tblW w:w="9376" w:type="dxa"/>
        <w:jc w:val="center"/>
        <w:tblLayout w:type="fixed"/>
        <w:tblCellMar>
          <w:top w:w="0" w:type="dxa"/>
          <w:left w:w="108" w:type="dxa"/>
          <w:bottom w:w="0" w:type="dxa"/>
          <w:right w:w="108" w:type="dxa"/>
        </w:tblCellMar>
      </w:tblPr>
      <w:tblGrid>
        <w:gridCol w:w="733"/>
        <w:gridCol w:w="944"/>
        <w:gridCol w:w="1507"/>
        <w:gridCol w:w="6192"/>
      </w:tblGrid>
      <w:tr w14:paraId="22E70BC3">
        <w:tblPrEx>
          <w:tblCellMar>
            <w:top w:w="0" w:type="dxa"/>
            <w:left w:w="108" w:type="dxa"/>
            <w:bottom w:w="0" w:type="dxa"/>
            <w:right w:w="108" w:type="dxa"/>
          </w:tblCellMar>
        </w:tblPrEx>
        <w:trPr>
          <w:trHeight w:val="810" w:hRule="atLeast"/>
          <w:tblHeader/>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0A57">
            <w:pPr>
              <w:widowControl/>
              <w:spacing w:line="240" w:lineRule="auto"/>
              <w:ind w:left="0" w:leftChars="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一级</w:t>
            </w:r>
          </w:p>
          <w:p w14:paraId="37D65F34">
            <w:pPr>
              <w:widowControl/>
              <w:spacing w:line="240" w:lineRule="auto"/>
              <w:ind w:left="0" w:leftChars="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589D">
            <w:pPr>
              <w:widowControl/>
              <w:spacing w:line="240" w:lineRule="auto"/>
              <w:ind w:left="0" w:leftChars="0"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二级</w:t>
            </w:r>
          </w:p>
          <w:p w14:paraId="0AD9636E">
            <w:pPr>
              <w:widowControl/>
              <w:spacing w:line="240" w:lineRule="auto"/>
              <w:ind w:left="0" w:leftChars="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指标</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7B486">
            <w:pPr>
              <w:widowControl/>
              <w:spacing w:line="240" w:lineRule="auto"/>
              <w:ind w:left="0" w:leftChars="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审核重点</w:t>
            </w:r>
          </w:p>
        </w:tc>
      </w:tr>
      <w:tr w14:paraId="7497B3DD">
        <w:tblPrEx>
          <w:tblCellMar>
            <w:top w:w="0" w:type="dxa"/>
            <w:left w:w="108" w:type="dxa"/>
            <w:bottom w:w="0" w:type="dxa"/>
            <w:right w:w="108" w:type="dxa"/>
          </w:tblCellMar>
        </w:tblPrEx>
        <w:trPr>
          <w:trHeight w:val="94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881B0">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1.办学方向与本科地位</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63B36">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 党的领导</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5F979">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1.1.1 学校坚持党的全面领导，依法治教、依法办学、依法治校，围绕国家战略需求培养担当民族复兴大任的时代新人情况</w:t>
            </w:r>
          </w:p>
        </w:tc>
      </w:tr>
      <w:tr w14:paraId="3CF1F48C">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FA16">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6E07">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F6D05">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1.1.2 学校坚持社会主义办学方向、贯彻落实立德树人根本任务、把立德树人成效作为检验学校一切工作的根本标准情况</w:t>
            </w:r>
          </w:p>
        </w:tc>
      </w:tr>
      <w:tr w14:paraId="60BAEB24">
        <w:tblPrEx>
          <w:tblCellMar>
            <w:top w:w="0" w:type="dxa"/>
            <w:left w:w="108" w:type="dxa"/>
            <w:bottom w:w="0" w:type="dxa"/>
            <w:right w:w="108" w:type="dxa"/>
          </w:tblCellMar>
        </w:tblPrEx>
        <w:trPr>
          <w:trHeight w:val="64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8329">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46F92">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 思政教育</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38539">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 思想政治工作体系建设和“三全育人”工作格局建立情况</w:t>
            </w:r>
          </w:p>
        </w:tc>
      </w:tr>
      <w:tr w14:paraId="4796368A">
        <w:tblPrEx>
          <w:tblCellMar>
            <w:top w:w="0" w:type="dxa"/>
            <w:left w:w="108" w:type="dxa"/>
            <w:bottom w:w="0" w:type="dxa"/>
            <w:right w:w="108" w:type="dxa"/>
          </w:tblCellMar>
        </w:tblPrEx>
        <w:trPr>
          <w:trHeight w:val="368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C4D6">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04E7">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67737">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1.2.2 加强思想政治理论课教师队伍和思政课程建设情况，按要求开设“习近平新时代中国特色社会主义思想概论”课程情况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【必选】思政课专任教师与折合在校生比例≥1:350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【必选】专职党务工作人员和思想政治工作人员总数与全校师生人数比例≥1:100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【必选】生均思政工作和党务工作队伍建设专项经费≥20元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【必选】生均网络思政工作专项经费≥40元</w:t>
            </w:r>
          </w:p>
        </w:tc>
      </w:tr>
      <w:tr w14:paraId="4621A62C">
        <w:tblPrEx>
          <w:tblCellMar>
            <w:top w:w="0" w:type="dxa"/>
            <w:left w:w="108" w:type="dxa"/>
            <w:bottom w:w="0" w:type="dxa"/>
            <w:right w:w="108" w:type="dxa"/>
          </w:tblCellMar>
        </w:tblPrEx>
        <w:trPr>
          <w:trHeight w:val="132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FCB1">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0AA6F">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C47C5">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1.2.3“课程思政”建设与成效，课程思政示范课程、教学研究项目、基层教学组织、教学研究示范中心和示范校以及课程思政教学名师和团队的建设及选树情况</w:t>
            </w:r>
          </w:p>
        </w:tc>
      </w:tr>
      <w:tr w14:paraId="174DE02A">
        <w:tblPrEx>
          <w:tblCellMar>
            <w:top w:w="0" w:type="dxa"/>
            <w:left w:w="108" w:type="dxa"/>
            <w:bottom w:w="0" w:type="dxa"/>
            <w:right w:w="108" w:type="dxa"/>
          </w:tblCellMar>
        </w:tblPrEx>
        <w:trPr>
          <w:trHeight w:val="89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8C113">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380F">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4BB8B">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1.2.4 学校对教师、学生出现思想政治、道德品质等负面问题能否及时发现和妥当处置情况</w:t>
            </w:r>
          </w:p>
        </w:tc>
      </w:tr>
      <w:tr w14:paraId="22DEC97C">
        <w:tblPrEx>
          <w:tblCellMar>
            <w:top w:w="0" w:type="dxa"/>
            <w:left w:w="108" w:type="dxa"/>
            <w:bottom w:w="0" w:type="dxa"/>
            <w:right w:w="108" w:type="dxa"/>
          </w:tblCellMar>
        </w:tblPrEx>
        <w:trPr>
          <w:trHeight w:val="77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72A6">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07C3C">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 本科地位</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A72FA">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1.3.1“以本为本”落实情况，党委重视、校长主抓、院长落实的本科教育良好氛围形成情况</w:t>
            </w:r>
          </w:p>
        </w:tc>
      </w:tr>
      <w:tr w14:paraId="5ADE5D89">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89C0">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8EC0B">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4D5BC">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1.3.2“四个回归”的实现情况，推进学生刻苦读书学习、教师潜心教书育人、学校倾心培养社会主义建设者和接班人等方面的举措与成效</w:t>
            </w:r>
          </w:p>
        </w:tc>
      </w:tr>
      <w:tr w14:paraId="1FC00A9E">
        <w:tblPrEx>
          <w:tblCellMar>
            <w:top w:w="0" w:type="dxa"/>
            <w:left w:w="108" w:type="dxa"/>
            <w:bottom w:w="0" w:type="dxa"/>
            <w:right w:w="108" w:type="dxa"/>
          </w:tblCellMar>
        </w:tblPrEx>
        <w:trPr>
          <w:trHeight w:val="309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4771">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7286">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52DFB">
            <w:pPr>
              <w:widowControl/>
              <w:ind w:left="0" w:leftChars="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1.3.3 教学经费、教学资源条件、教师精力投入等优先保障本科教学的机制建设情况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【必选】生均年教学日常运行支出≥1200 元（备注5）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【必选】教学日常运行支出占经常性预算内教育事业费拨款（205 类教育拨款扣除专项拨款）与学费收入之和的比例≥13%（教学日常运行支出统计要求见备注5）</w:t>
            </w:r>
          </w:p>
          <w:p w14:paraId="483EE18C">
            <w:pPr>
              <w:widowControl/>
              <w:ind w:left="0" w:leftChars="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【必选】年新增教学科研仪器设备值所占比例（要求见备注6）</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【必选】生均教学科研仪器设备值（要求见备注7）</w:t>
            </w:r>
          </w:p>
        </w:tc>
      </w:tr>
      <w:tr w14:paraId="5C3E2CAB">
        <w:tblPrEx>
          <w:tblCellMar>
            <w:top w:w="0" w:type="dxa"/>
            <w:left w:w="108" w:type="dxa"/>
            <w:bottom w:w="0" w:type="dxa"/>
            <w:right w:w="108" w:type="dxa"/>
          </w:tblCellMar>
        </w:tblPrEx>
        <w:trPr>
          <w:trHeight w:val="81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5F34">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1F50">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48983">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1.3.4 学校各职能部门服务本科教育教学工作情况，本科教育教学工作在学校年度考核中的比重情况</w:t>
            </w:r>
          </w:p>
        </w:tc>
      </w:tr>
      <w:tr w14:paraId="383313B5">
        <w:tblPrEx>
          <w:tblCellMar>
            <w:top w:w="0" w:type="dxa"/>
            <w:left w:w="108" w:type="dxa"/>
            <w:bottom w:w="0" w:type="dxa"/>
            <w:right w:w="108" w:type="dxa"/>
          </w:tblCellMar>
        </w:tblPrEx>
        <w:trPr>
          <w:trHeight w:val="77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83DB">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B8F65">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975FA">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1.3.5 专职教学管理人员队伍建设情况，本科教育专职教学管理人员与在校普通本科生人数的比例</w:t>
            </w:r>
          </w:p>
        </w:tc>
      </w:tr>
      <w:tr w14:paraId="533BA305">
        <w:tblPrEx>
          <w:tblCellMar>
            <w:top w:w="0" w:type="dxa"/>
            <w:left w:w="108" w:type="dxa"/>
            <w:bottom w:w="0" w:type="dxa"/>
            <w:right w:w="108" w:type="dxa"/>
          </w:tblCellMar>
        </w:tblPrEx>
        <w:trPr>
          <w:trHeight w:val="794"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FB156">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2.培养过程</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E7AFF">
            <w:pPr>
              <w:widowControl/>
              <w:ind w:left="0" w:leftChars="0" w:firstLine="0" w:firstLineChars="0"/>
              <w:jc w:val="both"/>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2.1 培养方案</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3C4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2.1.1 培养目标符合学校定位、适应社会经济发展需要体现学生德智体美劳全面发展情况</w:t>
            </w:r>
          </w:p>
        </w:tc>
      </w:tr>
      <w:tr w14:paraId="53E0D59D">
        <w:tblPrEx>
          <w:tblCellMar>
            <w:top w:w="0" w:type="dxa"/>
            <w:left w:w="108" w:type="dxa"/>
            <w:bottom w:w="0" w:type="dxa"/>
            <w:right w:w="108" w:type="dxa"/>
          </w:tblCellMar>
        </w:tblPrEx>
        <w:trPr>
          <w:trHeight w:val="186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9C462">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1E39">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DEC4F">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2.1.2 培养方案符合国家专业类标准、体现产出导向理念情况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【必选】学生毕业必须修满的公共艺术课程学分数≥2 学分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【必选】劳动教育必修课或必修课程中劳动教育模块学时总数≥32学时</w:t>
            </w:r>
          </w:p>
        </w:tc>
      </w:tr>
      <w:tr w14:paraId="21B03CDF">
        <w:tblPrEx>
          <w:tblCellMar>
            <w:top w:w="0" w:type="dxa"/>
            <w:left w:w="108" w:type="dxa"/>
            <w:bottom w:w="0" w:type="dxa"/>
            <w:right w:w="108" w:type="dxa"/>
          </w:tblCellMar>
        </w:tblPrEx>
        <w:trPr>
          <w:trHeight w:val="77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FC08">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CD1EF">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D611">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B2.1.3</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7BC">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B1</w:t>
            </w:r>
            <w:r>
              <w:rPr>
                <w:rStyle w:val="21"/>
                <w:rFonts w:hint="eastAsia" w:ascii="仿宋" w:hAnsi="仿宋" w:eastAsia="仿宋" w:cs="仿宋"/>
                <w:sz w:val="24"/>
                <w:szCs w:val="24"/>
                <w:lang w:bidi="ar"/>
              </w:rPr>
              <w:t xml:space="preserve"> 培养方案强化理论基础、突出科教融合注重培养学生创新能力情况</w:t>
            </w:r>
          </w:p>
        </w:tc>
      </w:tr>
      <w:tr w14:paraId="07BF14FF">
        <w:tblPrEx>
          <w:tblCellMar>
            <w:top w:w="0" w:type="dxa"/>
            <w:left w:w="108" w:type="dxa"/>
            <w:bottom w:w="0" w:type="dxa"/>
            <w:right w:w="108" w:type="dxa"/>
          </w:tblCellMar>
        </w:tblPrEx>
        <w:trPr>
          <w:trHeight w:val="119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9BF9C">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4194F">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 专业建设</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251">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B2.2.1</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AAAC">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B1</w:t>
            </w:r>
            <w:r>
              <w:rPr>
                <w:rStyle w:val="21"/>
                <w:rFonts w:hint="eastAsia" w:ascii="仿宋" w:hAnsi="仿宋" w:eastAsia="仿宋" w:cs="仿宋"/>
                <w:sz w:val="24"/>
                <w:szCs w:val="24"/>
                <w:lang w:bidi="ar"/>
              </w:rPr>
              <w:t xml:space="preserve"> 专业设置、专业建设与国家重大发展战略及社会对创新型人才需求的契合情况</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【必选】通过认证（评估）的专业占专业总数的比例</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【可选】近三年新增专业数</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【可选】近三年停招专业数</w:t>
            </w:r>
          </w:p>
        </w:tc>
      </w:tr>
      <w:tr w14:paraId="08E6E0FD">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9C16C">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2B0B9">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B887">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B2.2.2</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EAA9">
            <w:pPr>
              <w:widowControl/>
              <w:ind w:left="0" w:leftChars="0" w:firstLine="0" w:firstLineChars="0"/>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 xml:space="preserve">B1 </w:t>
            </w:r>
            <w:r>
              <w:rPr>
                <w:rStyle w:val="21"/>
                <w:rFonts w:hint="eastAsia" w:ascii="仿宋" w:hAnsi="仿宋" w:eastAsia="仿宋" w:cs="仿宋"/>
                <w:sz w:val="24"/>
                <w:szCs w:val="24"/>
                <w:lang w:bidi="ar"/>
              </w:rPr>
              <w:t>围绕国家和区域经济发展需求，建立自主性、灵活性与规范性、稳定性相统一的专业设置管理体系情况</w:t>
            </w:r>
          </w:p>
        </w:tc>
      </w:tr>
      <w:tr w14:paraId="727C0842">
        <w:tblPrEx>
          <w:tblCellMar>
            <w:top w:w="0" w:type="dxa"/>
            <w:left w:w="108" w:type="dxa"/>
            <w:bottom w:w="0" w:type="dxa"/>
            <w:right w:w="108" w:type="dxa"/>
          </w:tblCellMar>
        </w:tblPrEx>
        <w:trPr>
          <w:trHeight w:val="80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BF77">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12898">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7A89D">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2.2.3 学校通过主辅修、微专业和双学士学位培养等举措促进复合型人才培养情况</w:t>
            </w:r>
          </w:p>
        </w:tc>
      </w:tr>
      <w:tr w14:paraId="4D521BDE">
        <w:tblPrEx>
          <w:tblCellMar>
            <w:top w:w="0" w:type="dxa"/>
            <w:left w:w="108" w:type="dxa"/>
            <w:bottom w:w="0" w:type="dxa"/>
            <w:right w:w="108" w:type="dxa"/>
          </w:tblCellMar>
        </w:tblPrEx>
        <w:trPr>
          <w:trHeight w:val="280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1004C">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C487C">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 实践教学</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B0E7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2.3.1 强化实践育人、构建实践教学体系、推动实践教学改革情况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【必选】实践教学学分占总学分（学时）比例（人文社科类专业≥15%，理工农医类专业≥25%）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【必选】国家级、省级实践教学基地（包括实验教学 示范中心、虚拟仿真实验中心、虚拟仿真实验教学项目、临床教学培训示范中心、工程实践基地、农科教合作人才培养基地、校外大学生实践教育基地等）数</w:t>
            </w:r>
          </w:p>
        </w:tc>
      </w:tr>
      <w:tr w14:paraId="66722AA3">
        <w:tblPrEx>
          <w:tblCellMar>
            <w:top w:w="0" w:type="dxa"/>
            <w:left w:w="108" w:type="dxa"/>
            <w:bottom w:w="0" w:type="dxa"/>
            <w:right w:w="108" w:type="dxa"/>
          </w:tblCellMar>
        </w:tblPrEx>
        <w:trPr>
          <w:trHeight w:val="1227"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2053">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A6B1">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077">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B2.3.2</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C613">
            <w:pPr>
              <w:widowControl/>
              <w:ind w:left="0" w:leftChars="0" w:firstLine="0" w:firstLineChars="0"/>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 xml:space="preserve">B1 </w:t>
            </w:r>
            <w:r>
              <w:rPr>
                <w:rStyle w:val="21"/>
                <w:rFonts w:hint="eastAsia" w:ascii="仿宋" w:hAnsi="仿宋" w:eastAsia="仿宋" w:cs="仿宋"/>
                <w:sz w:val="24"/>
                <w:szCs w:val="24"/>
                <w:lang w:bidi="ar"/>
              </w:rPr>
              <w:t>学校与科研院所、企业共建科研实践、实习实训基地情况</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【可选】与行业企业共建的实验教学中心数</w:t>
            </w:r>
          </w:p>
        </w:tc>
      </w:tr>
      <w:tr w14:paraId="75B6A74F">
        <w:tblPrEx>
          <w:tblCellMar>
            <w:top w:w="0" w:type="dxa"/>
            <w:left w:w="108" w:type="dxa"/>
            <w:bottom w:w="0" w:type="dxa"/>
            <w:right w:w="108" w:type="dxa"/>
          </w:tblCellMar>
        </w:tblPrEx>
        <w:trPr>
          <w:trHeight w:val="156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E63A">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BBCB">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6A86">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B2.3.3</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F882">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B1</w:t>
            </w:r>
            <w:r>
              <w:rPr>
                <w:rStyle w:val="23"/>
                <w:rFonts w:hint="eastAsia" w:ascii="仿宋" w:hAnsi="仿宋" w:eastAsia="仿宋" w:cs="仿宋"/>
                <w:sz w:val="24"/>
                <w:szCs w:val="24"/>
                <w:lang w:bidi="ar"/>
              </w:rPr>
              <w:t xml:space="preserve"> </w:t>
            </w:r>
            <w:r>
              <w:rPr>
                <w:rStyle w:val="21"/>
                <w:rFonts w:hint="eastAsia" w:ascii="仿宋" w:hAnsi="仿宋" w:eastAsia="仿宋" w:cs="仿宋"/>
                <w:sz w:val="24"/>
                <w:szCs w:val="24"/>
                <w:lang w:bidi="ar"/>
              </w:rPr>
              <w:t>毕业论文（设计）选题来自教师专业实践、科研课题情况及完成质量</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【必选】以实验、实习、工程实践和社会调查等实践性工作为基础的毕业论文（设计）比例≥50%</w:t>
            </w:r>
          </w:p>
        </w:tc>
      </w:tr>
      <w:tr w14:paraId="1A597E09">
        <w:tblPrEx>
          <w:tblCellMar>
            <w:top w:w="0" w:type="dxa"/>
            <w:left w:w="108" w:type="dxa"/>
            <w:bottom w:w="0" w:type="dxa"/>
            <w:right w:w="108" w:type="dxa"/>
          </w:tblCellMar>
        </w:tblPrEx>
        <w:trPr>
          <w:trHeight w:val="78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3421B">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D217E">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 课堂教学</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BC4BF">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2.4.1 实施“以学为中心、以教为主导”的课堂教学，开展以学生学习成果为导向的教学评价情况</w:t>
            </w:r>
          </w:p>
        </w:tc>
      </w:tr>
      <w:tr w14:paraId="736E5389">
        <w:tblPrEx>
          <w:tblCellMar>
            <w:top w:w="0" w:type="dxa"/>
            <w:left w:w="108" w:type="dxa"/>
            <w:bottom w:w="0" w:type="dxa"/>
            <w:right w:w="108" w:type="dxa"/>
          </w:tblCellMar>
        </w:tblPrEx>
        <w:trPr>
          <w:trHeight w:val="691"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747D">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9AE3">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7224">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2.4.2 推进信息技术与教学过程融合、加强信息化教学环境与资源建设情况</w:t>
            </w:r>
          </w:p>
        </w:tc>
      </w:tr>
      <w:tr w14:paraId="2BBA16DB">
        <w:tblPrEx>
          <w:tblCellMar>
            <w:top w:w="0" w:type="dxa"/>
            <w:left w:w="108" w:type="dxa"/>
            <w:bottom w:w="0" w:type="dxa"/>
            <w:right w:w="108" w:type="dxa"/>
          </w:tblCellMar>
        </w:tblPrEx>
        <w:trPr>
          <w:trHeight w:val="217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8CEB6">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D6CA">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4BA74">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2.4.3 建立健全教材管理机构和工作制度情况，依照教材审核选用标准和程序选用教材情况；推进马工程重点教材统一使用情况；对教材选用工作出现负面问题的处理情况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【必选】使用马工程重点教材课程数量与学校应使用马工程重点教材课程数量的比例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【可选】近五年公开出版的教材数</w:t>
            </w:r>
          </w:p>
        </w:tc>
      </w:tr>
      <w:tr w14:paraId="541DD4D8">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CE14A">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64B29">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K2.5 卓越培养</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F9F4">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K2.5.1</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D20C">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 xml:space="preserve">K1 </w:t>
            </w:r>
            <w:r>
              <w:rPr>
                <w:rStyle w:val="21"/>
                <w:rFonts w:hint="eastAsia" w:ascii="仿宋" w:hAnsi="仿宋" w:eastAsia="仿宋" w:cs="仿宋"/>
                <w:sz w:val="24"/>
                <w:szCs w:val="24"/>
                <w:lang w:bidi="ar"/>
              </w:rPr>
              <w:t>科教协同拔尖人才培养模式改革及其实践效果</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【可选】基础学科拔尖学生培养计划学生数</w:t>
            </w:r>
          </w:p>
        </w:tc>
      </w:tr>
      <w:tr w14:paraId="4D624FE7">
        <w:tblPrEx>
          <w:tblCellMar>
            <w:top w:w="0" w:type="dxa"/>
            <w:left w:w="108" w:type="dxa"/>
            <w:bottom w:w="0" w:type="dxa"/>
            <w:right w:w="108" w:type="dxa"/>
          </w:tblCellMar>
        </w:tblPrEx>
        <w:trPr>
          <w:trHeight w:val="156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899CF">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EC4F">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90E43">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K2.5.2 加强课程体系整体设计，优化公共课、专业基础课和专业课比例结构，提高课程建设规划性、系统性情况</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【必选】本科生生均课程门数</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【可选】与行业企业共建、共同讲授的课程数</w:t>
            </w:r>
          </w:p>
        </w:tc>
      </w:tr>
      <w:tr w14:paraId="5E0C84FF">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14228">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0227">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78BF4">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K2.5.3 新工科、新农科、新医科、新文科建设以及围绕“培育高水平教学成果”开展教研教改项目建设的举措及实施成效</w:t>
            </w:r>
          </w:p>
        </w:tc>
      </w:tr>
      <w:tr w14:paraId="6E6C5100">
        <w:tblPrEx>
          <w:tblCellMar>
            <w:top w:w="0" w:type="dxa"/>
            <w:left w:w="108" w:type="dxa"/>
            <w:bottom w:w="0" w:type="dxa"/>
            <w:right w:w="108" w:type="dxa"/>
          </w:tblCellMar>
        </w:tblPrEx>
        <w:trPr>
          <w:trHeight w:val="52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C1687">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2876">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321BF">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K2.5.4 一流专业“双万计划”建设举措及成效</w:t>
            </w:r>
          </w:p>
        </w:tc>
      </w:tr>
      <w:tr w14:paraId="25A4D872">
        <w:tblPrEx>
          <w:tblCellMar>
            <w:top w:w="0" w:type="dxa"/>
            <w:left w:w="108" w:type="dxa"/>
            <w:bottom w:w="0" w:type="dxa"/>
            <w:right w:w="108" w:type="dxa"/>
          </w:tblCellMar>
        </w:tblPrEx>
        <w:trPr>
          <w:trHeight w:val="51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C3B9">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F8E9">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7B84E">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K2.5.5 一流课程“双万计划”建设举措及成效</w:t>
            </w:r>
          </w:p>
        </w:tc>
      </w:tr>
      <w:tr w14:paraId="74A67C42">
        <w:tblPrEx>
          <w:tblCellMar>
            <w:top w:w="0" w:type="dxa"/>
            <w:left w:w="108" w:type="dxa"/>
            <w:bottom w:w="0" w:type="dxa"/>
            <w:right w:w="108" w:type="dxa"/>
          </w:tblCellMar>
        </w:tblPrEx>
        <w:trPr>
          <w:trHeight w:val="53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8C68">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9B1E6">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0BFC6">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K2.5.6 优秀教材建设举措及成效</w:t>
            </w:r>
          </w:p>
        </w:tc>
      </w:tr>
      <w:tr w14:paraId="3DDA4786">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009F6">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1AEC2">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 创新创业教育</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C4EC6">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2.6.1 创新创业教育工作体系与创新创业教育平台建设情况</w:t>
            </w:r>
          </w:p>
        </w:tc>
      </w:tr>
      <w:tr w14:paraId="25F18ACA">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AAA6">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76F83">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DAF33">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2.6.2 将创新创业教育贯穿于人才培养全过程、融入专业教育的举措与成效</w:t>
            </w:r>
          </w:p>
        </w:tc>
      </w:tr>
      <w:tr w14:paraId="596834E6">
        <w:tblPrEx>
          <w:tblCellMar>
            <w:top w:w="0" w:type="dxa"/>
            <w:left w:w="108" w:type="dxa"/>
            <w:bottom w:w="0" w:type="dxa"/>
            <w:right w:w="108" w:type="dxa"/>
          </w:tblCellMar>
        </w:tblPrEx>
        <w:trPr>
          <w:trHeight w:val="61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9F76">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68F15">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E22FB">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2.6.3 学生参与创新创业教育积极性及创新创业教育成果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【必选】本科生参加各级各类创新创业实践活动人数及比例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【必选】省级及以上“互联网+”大学生创新创业大赛获奖数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【可选】省级及以上学科竞赛获奖学生人次数占学生总数的比例</w:t>
            </w:r>
          </w:p>
        </w:tc>
      </w:tr>
      <w:tr w14:paraId="36E4FB64">
        <w:tblPrEx>
          <w:tblCellMar>
            <w:top w:w="0" w:type="dxa"/>
            <w:left w:w="108" w:type="dxa"/>
            <w:bottom w:w="0" w:type="dxa"/>
            <w:right w:w="108" w:type="dxa"/>
          </w:tblCellMar>
        </w:tblPrEx>
        <w:trPr>
          <w:trHeight w:val="711"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4A85E">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3.教学资源与利用</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C8C3B">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 资源建设</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066B">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B3.2.1</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D6C0">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 xml:space="preserve">B1 </w:t>
            </w:r>
            <w:r>
              <w:rPr>
                <w:rStyle w:val="21"/>
                <w:rFonts w:hint="eastAsia" w:ascii="仿宋" w:hAnsi="仿宋" w:eastAsia="仿宋" w:cs="仿宋"/>
                <w:sz w:val="24"/>
                <w:szCs w:val="24"/>
                <w:lang w:bidi="ar"/>
              </w:rPr>
              <w:t>优质教学资源建设及其共享情况</w:t>
            </w:r>
          </w:p>
        </w:tc>
      </w:tr>
      <w:tr w14:paraId="5A47BA32">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724D1">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B2A7">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784">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B3.2.2</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2E03">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B1</w:t>
            </w:r>
            <w:r>
              <w:rPr>
                <w:rStyle w:val="21"/>
                <w:rFonts w:hint="eastAsia" w:ascii="仿宋" w:hAnsi="仿宋" w:eastAsia="仿宋" w:cs="仿宋"/>
                <w:sz w:val="24"/>
                <w:szCs w:val="24"/>
                <w:lang w:bidi="ar"/>
              </w:rPr>
              <w:t xml:space="preserve"> 面向国家、行业领域需求的一流教材建设举措与成效</w:t>
            </w:r>
          </w:p>
        </w:tc>
      </w:tr>
      <w:tr w14:paraId="7090BCBF">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FE24">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93E3">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D75E5">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K3.2.3 适应“互联网+”课程教学需要的智慧教室、智能实验室、数字场景等教学设施和条件建设及使用效果</w:t>
            </w:r>
          </w:p>
        </w:tc>
      </w:tr>
      <w:tr w14:paraId="6314AF96">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7C860">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A7AA">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3A86">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K3.2.4</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A6FA">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K1</w:t>
            </w:r>
            <w:r>
              <w:rPr>
                <w:rStyle w:val="21"/>
                <w:rFonts w:hint="eastAsia" w:ascii="仿宋" w:hAnsi="仿宋" w:eastAsia="仿宋" w:cs="仿宋"/>
                <w:sz w:val="24"/>
                <w:szCs w:val="24"/>
                <w:lang w:bidi="ar"/>
              </w:rPr>
              <w:t xml:space="preserve"> 学科资源、科研成果转化为教学资源情况</w:t>
            </w:r>
          </w:p>
        </w:tc>
      </w:tr>
      <w:tr w14:paraId="34B10CAC">
        <w:tblPrEx>
          <w:tblCellMar>
            <w:top w:w="0" w:type="dxa"/>
            <w:left w:w="108" w:type="dxa"/>
            <w:bottom w:w="0" w:type="dxa"/>
            <w:right w:w="108" w:type="dxa"/>
          </w:tblCellMar>
        </w:tblPrEx>
        <w:trPr>
          <w:trHeight w:val="1254"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0A631">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4.教师队伍</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55BC9">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4.1 师德师风</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E93F2">
            <w:pPr>
              <w:widowControl/>
              <w:ind w:left="0" w:leftChars="0" w:firstLine="0" w:firstLineChars="0"/>
              <w:jc w:val="left"/>
              <w:textAlignment w:val="center"/>
              <w:rPr>
                <w:rFonts w:hint="eastAsia" w:ascii="仿宋" w:hAnsi="仿宋" w:eastAsia="仿宋" w:cs="仿宋"/>
                <w:color w:val="000000"/>
                <w:sz w:val="24"/>
                <w:szCs w:val="24"/>
              </w:rPr>
            </w:pPr>
            <w:r>
              <w:rPr>
                <w:rStyle w:val="24"/>
                <w:rFonts w:hint="eastAsia" w:ascii="仿宋" w:hAnsi="仿宋" w:eastAsia="仿宋" w:cs="仿宋"/>
                <w:sz w:val="24"/>
                <w:szCs w:val="24"/>
                <w:lang w:bidi="ar"/>
              </w:rPr>
              <w:t xml:space="preserve">4.1.1 </w:t>
            </w:r>
            <w:r>
              <w:rPr>
                <w:rStyle w:val="21"/>
                <w:rFonts w:hint="eastAsia" w:ascii="仿宋" w:hAnsi="仿宋" w:eastAsia="仿宋" w:cs="仿宋"/>
                <w:sz w:val="24"/>
                <w:szCs w:val="24"/>
                <w:lang w:bidi="ar"/>
              </w:rPr>
              <w:t>保障把教师思想政治建设放在首位、把师德师风作为评价教师的第一标准，强化师德教育、加强师德宣传、严格考核管理、加强制度建设，落实师德考核贯穿于教育教学全过程等方面的情况</w:t>
            </w:r>
          </w:p>
        </w:tc>
      </w:tr>
      <w:tr w14:paraId="4C35E0F6">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AE1B6">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449C">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5CE38">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4.1.2 教师在争做“四有”好老师、四个“引路人”，自觉遵守《新时代高校教师职业行为十项准则》等方面的情况</w:t>
            </w:r>
          </w:p>
        </w:tc>
      </w:tr>
      <w:tr w14:paraId="66D15502">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AA58">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2B2AC">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4.2 教学能力</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3B74">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B4.2.1</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EE04">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 xml:space="preserve">B1 </w:t>
            </w:r>
            <w:r>
              <w:rPr>
                <w:rStyle w:val="21"/>
                <w:rFonts w:hint="eastAsia" w:ascii="仿宋" w:hAnsi="仿宋" w:eastAsia="仿宋" w:cs="仿宋"/>
                <w:sz w:val="24"/>
                <w:szCs w:val="24"/>
                <w:lang w:bidi="ar"/>
              </w:rPr>
              <w:t>专任教师的专业水平、教学能力、科研水平和能力</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【必选】省级及以上教学竞赛获奖情况</w:t>
            </w:r>
          </w:p>
        </w:tc>
      </w:tr>
      <w:tr w14:paraId="386563BD">
        <w:tblPrEx>
          <w:tblCellMar>
            <w:top w:w="0" w:type="dxa"/>
            <w:left w:w="108" w:type="dxa"/>
            <w:bottom w:w="0" w:type="dxa"/>
            <w:right w:w="108" w:type="dxa"/>
          </w:tblCellMar>
        </w:tblPrEx>
        <w:trPr>
          <w:trHeight w:val="55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2682">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B1847">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5AEBF">
            <w:pPr>
              <w:widowControl/>
              <w:ind w:left="0" w:leftChars="0" w:firstLine="0" w:firstLineChars="0"/>
              <w:jc w:val="left"/>
              <w:textAlignment w:val="center"/>
              <w:rPr>
                <w:rFonts w:hint="eastAsia" w:ascii="仿宋" w:hAnsi="仿宋" w:eastAsia="仿宋" w:cs="仿宋"/>
                <w:color w:val="000000"/>
                <w:sz w:val="24"/>
                <w:szCs w:val="24"/>
              </w:rPr>
            </w:pPr>
            <w:r>
              <w:rPr>
                <w:rStyle w:val="24"/>
                <w:rFonts w:hint="eastAsia" w:ascii="仿宋" w:hAnsi="仿宋" w:eastAsia="仿宋" w:cs="仿宋"/>
                <w:sz w:val="24"/>
                <w:szCs w:val="24"/>
                <w:lang w:bidi="ar"/>
              </w:rPr>
              <w:t xml:space="preserve">4.2.2 </w:t>
            </w:r>
            <w:r>
              <w:rPr>
                <w:rStyle w:val="21"/>
                <w:rFonts w:hint="eastAsia" w:ascii="仿宋" w:hAnsi="仿宋" w:eastAsia="仿宋" w:cs="仿宋"/>
                <w:sz w:val="24"/>
                <w:szCs w:val="24"/>
                <w:lang w:bidi="ar"/>
              </w:rPr>
              <w:t>提升教师教书育人能力和水平的措施</w:t>
            </w:r>
          </w:p>
        </w:tc>
      </w:tr>
      <w:tr w14:paraId="7F503254">
        <w:tblPrEx>
          <w:tblCellMar>
            <w:top w:w="0" w:type="dxa"/>
            <w:left w:w="108" w:type="dxa"/>
            <w:bottom w:w="0" w:type="dxa"/>
            <w:right w:w="108" w:type="dxa"/>
          </w:tblCellMar>
        </w:tblPrEx>
        <w:trPr>
          <w:trHeight w:val="59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E0E93">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BED36">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4.3 教学投入</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95EF0">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4.3.1 教师投入教学、教授全员为本科生授课的激励与约束机制建立情况及实施效果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【必选】主讲本科课程教授占教授总数的比例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【必选】教授主讲本科课程人均学时数</w:t>
            </w:r>
          </w:p>
        </w:tc>
      </w:tr>
      <w:tr w14:paraId="1E4F4A67">
        <w:tblPrEx>
          <w:tblCellMar>
            <w:top w:w="0" w:type="dxa"/>
            <w:left w:w="108" w:type="dxa"/>
            <w:bottom w:w="0" w:type="dxa"/>
            <w:right w:w="108" w:type="dxa"/>
          </w:tblCellMar>
        </w:tblPrEx>
        <w:trPr>
          <w:trHeight w:val="59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D8DE5">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060E">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D691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4.3.2 教师特别是教授和副教授开展教学研究、参与教学改革与建设情况及成效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【必选】教授、副教授担任专业负责人的专业占专业总数的比例</w:t>
            </w:r>
          </w:p>
        </w:tc>
      </w:tr>
      <w:tr w14:paraId="69926F5E">
        <w:tblPrEx>
          <w:tblCellMar>
            <w:top w:w="0" w:type="dxa"/>
            <w:left w:w="108" w:type="dxa"/>
            <w:bottom w:w="0" w:type="dxa"/>
            <w:right w:w="108" w:type="dxa"/>
          </w:tblCellMar>
        </w:tblPrEx>
        <w:trPr>
          <w:trHeight w:val="125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AEC0">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99A1C">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4.4 教师发展</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379F9">
            <w:pPr>
              <w:widowControl/>
              <w:ind w:left="0" w:leftChars="0" w:firstLine="0" w:firstLineChars="0"/>
              <w:jc w:val="left"/>
              <w:textAlignment w:val="center"/>
              <w:rPr>
                <w:rFonts w:hint="eastAsia" w:ascii="仿宋" w:hAnsi="仿宋" w:eastAsia="仿宋" w:cs="仿宋"/>
                <w:color w:val="000000"/>
                <w:sz w:val="24"/>
                <w:szCs w:val="24"/>
              </w:rPr>
            </w:pPr>
            <w:r>
              <w:rPr>
                <w:rStyle w:val="24"/>
                <w:rFonts w:hint="eastAsia" w:ascii="仿宋" w:hAnsi="仿宋" w:eastAsia="仿宋" w:cs="仿宋"/>
                <w:sz w:val="24"/>
                <w:szCs w:val="24"/>
                <w:lang w:bidi="ar"/>
              </w:rPr>
              <w:t xml:space="preserve">4.4.1 </w:t>
            </w:r>
            <w:r>
              <w:rPr>
                <w:rStyle w:val="21"/>
                <w:rFonts w:hint="eastAsia" w:ascii="仿宋" w:hAnsi="仿宋" w:eastAsia="仿宋" w:cs="仿宋"/>
                <w:sz w:val="24"/>
                <w:szCs w:val="24"/>
                <w:lang w:bidi="ar"/>
              </w:rPr>
              <w:t>重视教师培训与职业发展，把习近平总书记关于教育的重要论述作为核心培训课程，把《习近平总书记教育重要论述讲义》作为核心培训教材，加强思政与党务工作队伍建设的举措与成效</w:t>
            </w:r>
          </w:p>
        </w:tc>
      </w:tr>
      <w:tr w14:paraId="3B2F7BDF">
        <w:tblPrEx>
          <w:tblCellMar>
            <w:top w:w="0" w:type="dxa"/>
            <w:left w:w="108" w:type="dxa"/>
            <w:bottom w:w="0" w:type="dxa"/>
            <w:right w:w="108" w:type="dxa"/>
          </w:tblCellMar>
        </w:tblPrEx>
        <w:trPr>
          <w:trHeight w:val="125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96732">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0C227">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F35B6">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4.4.2 加强教师教学发展中心、基层教学组织和青年教师队伍建设举措与成效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【必选】设有基层教学组织的专业占专业总数的比例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【可选】教师教学发展中心培训本校教师的比例</w:t>
            </w:r>
          </w:p>
        </w:tc>
      </w:tr>
      <w:tr w14:paraId="7992B65B">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CA93">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8578">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93A">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B4.4.3</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A41">
            <w:pPr>
              <w:widowControl/>
              <w:ind w:left="0" w:leftChars="0" w:firstLine="0" w:firstLineChars="0"/>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B1</w:t>
            </w:r>
            <w:r>
              <w:rPr>
                <w:rStyle w:val="21"/>
                <w:rFonts w:hint="eastAsia" w:ascii="仿宋" w:hAnsi="仿宋" w:eastAsia="仿宋" w:cs="仿宋"/>
                <w:sz w:val="24"/>
                <w:szCs w:val="24"/>
                <w:lang w:bidi="ar"/>
              </w:rPr>
              <w:t xml:space="preserve"> 提升教师教学能力、实践能力、科研能力、信息技术应用能力的政策措施</w:t>
            </w:r>
          </w:p>
        </w:tc>
      </w:tr>
      <w:tr w14:paraId="732FA596">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A90C0">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D6FD">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C564">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B4.4.4</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289A">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B1</w:t>
            </w:r>
            <w:r>
              <w:rPr>
                <w:rStyle w:val="21"/>
                <w:rFonts w:hint="eastAsia" w:ascii="仿宋" w:hAnsi="仿宋" w:eastAsia="仿宋" w:cs="仿宋"/>
                <w:sz w:val="24"/>
                <w:szCs w:val="24"/>
                <w:lang w:bidi="ar"/>
              </w:rPr>
              <w:t xml:space="preserve"> 教师队伍分类管理与建设情况</w:t>
            </w:r>
          </w:p>
        </w:tc>
      </w:tr>
      <w:tr w14:paraId="6CA5150A">
        <w:tblPrEx>
          <w:tblCellMar>
            <w:top w:w="0" w:type="dxa"/>
            <w:left w:w="108" w:type="dxa"/>
            <w:bottom w:w="0" w:type="dxa"/>
            <w:right w:w="108" w:type="dxa"/>
          </w:tblCellMar>
        </w:tblPrEx>
        <w:trPr>
          <w:trHeight w:val="76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B5D7">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0958">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98E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K4.4.5 教师赴国（境）外交流、访学、参加国际会议、合作研究等情况</w:t>
            </w:r>
          </w:p>
        </w:tc>
      </w:tr>
      <w:tr w14:paraId="60737BD5">
        <w:tblPrEx>
          <w:tblCellMar>
            <w:top w:w="0" w:type="dxa"/>
            <w:left w:w="108" w:type="dxa"/>
            <w:bottom w:w="0" w:type="dxa"/>
            <w:right w:w="108" w:type="dxa"/>
          </w:tblCellMar>
        </w:tblPrEx>
        <w:trPr>
          <w:trHeight w:val="61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DE6DF">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5.学生发展</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03806">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5.1 理想信念</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54913">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5.1.1 学生理想信念和品德修养</w:t>
            </w:r>
          </w:p>
        </w:tc>
      </w:tr>
      <w:tr w14:paraId="4EFB7A68">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B17A3">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2AACF">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2225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5.1.2 加强学风建设，教育引导学生爱国、励志、求真、力行情况</w:t>
            </w:r>
          </w:p>
        </w:tc>
      </w:tr>
      <w:tr w14:paraId="3D8A31EF">
        <w:tblPrEx>
          <w:tblCellMar>
            <w:top w:w="0" w:type="dxa"/>
            <w:left w:w="108" w:type="dxa"/>
            <w:bottom w:w="0" w:type="dxa"/>
            <w:right w:w="108" w:type="dxa"/>
          </w:tblCellMar>
        </w:tblPrEx>
        <w:trPr>
          <w:trHeight w:val="122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DBE4B">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26B3C">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5.2 学业成绩及综合素质</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9258">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B5.2.1</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2BB">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 xml:space="preserve">B1 </w:t>
            </w:r>
            <w:r>
              <w:rPr>
                <w:rStyle w:val="21"/>
                <w:rFonts w:hint="eastAsia" w:ascii="仿宋" w:hAnsi="仿宋" w:eastAsia="仿宋" w:cs="仿宋"/>
                <w:sz w:val="24"/>
                <w:szCs w:val="24"/>
                <w:lang w:bidi="ar"/>
              </w:rPr>
              <w:t>学生基础理论、知识面和创新能力</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【可选】本科生以第一作者/通讯作者在公开发行期刊发表的论文数和本科生获批国家发明专利数</w:t>
            </w:r>
          </w:p>
        </w:tc>
      </w:tr>
      <w:tr w14:paraId="7FA886C9">
        <w:tblPrEx>
          <w:tblCellMar>
            <w:top w:w="0" w:type="dxa"/>
            <w:left w:w="108" w:type="dxa"/>
            <w:bottom w:w="0" w:type="dxa"/>
            <w:right w:w="108" w:type="dxa"/>
          </w:tblCellMar>
        </w:tblPrEx>
        <w:trPr>
          <w:trHeight w:val="115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4E6E8">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6A0D">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0CC8A">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5.2.2 开展通识教育、体育、美育、劳动教育的措施与成效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【必选】体质测试达标率</w:t>
            </w:r>
          </w:p>
        </w:tc>
      </w:tr>
      <w:tr w14:paraId="13F148B7">
        <w:tblPrEx>
          <w:tblCellMar>
            <w:top w:w="0" w:type="dxa"/>
            <w:left w:w="108" w:type="dxa"/>
            <w:bottom w:w="0" w:type="dxa"/>
            <w:right w:w="108" w:type="dxa"/>
          </w:tblCellMar>
        </w:tblPrEx>
        <w:trPr>
          <w:trHeight w:val="125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7482C">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534F">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C94C2">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5.2.3 社团活动、校园文化、社会实践、志愿服务等活动开展情况及育人效果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【可选】省级及以上艺术展演、体育竞赛参赛获奖学生人次数占学生总数的比例</w:t>
            </w:r>
          </w:p>
        </w:tc>
      </w:tr>
      <w:tr w14:paraId="5CD296A9">
        <w:tblPrEx>
          <w:tblCellMar>
            <w:top w:w="0" w:type="dxa"/>
            <w:left w:w="108" w:type="dxa"/>
            <w:bottom w:w="0" w:type="dxa"/>
            <w:right w:w="108" w:type="dxa"/>
          </w:tblCellMar>
        </w:tblPrEx>
        <w:trPr>
          <w:trHeight w:val="217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8D996">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5B082">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K5.3 国际视野</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105CF">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K5.3.1 与国（境）外大学合作办学、合作育人以及与本科教育相关的国际交流活动和来华留学生教育开展情况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【可选】与国(境)外大学合作办学、学分互认、学位互授项目学生数占在校本科生数的比例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【可选】在籍国际学生和港澳台学生占在校本科生数的比例</w:t>
            </w:r>
          </w:p>
        </w:tc>
      </w:tr>
      <w:tr w14:paraId="686EEFAF">
        <w:tblPrEx>
          <w:tblCellMar>
            <w:top w:w="0" w:type="dxa"/>
            <w:left w:w="108" w:type="dxa"/>
            <w:bottom w:w="0" w:type="dxa"/>
            <w:right w:w="108" w:type="dxa"/>
          </w:tblCellMar>
        </w:tblPrEx>
        <w:trPr>
          <w:trHeight w:val="78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BCA63">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A2A2">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A0400">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K</w:t>
            </w:r>
            <w:r>
              <w:rPr>
                <w:rStyle w:val="24"/>
                <w:rFonts w:hint="eastAsia" w:ascii="仿宋" w:hAnsi="仿宋" w:eastAsia="仿宋" w:cs="仿宋"/>
                <w:sz w:val="24"/>
                <w:szCs w:val="24"/>
                <w:lang w:bidi="ar"/>
              </w:rPr>
              <w:t xml:space="preserve"> 5.3.2  </w:t>
            </w:r>
            <w:r>
              <w:rPr>
                <w:rStyle w:val="21"/>
                <w:rFonts w:hint="eastAsia" w:ascii="仿宋" w:hAnsi="仿宋" w:eastAsia="仿宋" w:cs="仿宋"/>
                <w:sz w:val="24"/>
                <w:szCs w:val="24"/>
                <w:lang w:bidi="ar"/>
              </w:rPr>
              <w:t>国际先进教育理念、国际化一流课程等优质教育资源的吸收内化、培育和输出共享情况</w:t>
            </w:r>
          </w:p>
        </w:tc>
      </w:tr>
      <w:tr w14:paraId="6966ADC0">
        <w:tblPrEx>
          <w:tblCellMar>
            <w:top w:w="0" w:type="dxa"/>
            <w:left w:w="108" w:type="dxa"/>
            <w:bottom w:w="0" w:type="dxa"/>
            <w:right w:w="108" w:type="dxa"/>
          </w:tblCellMar>
        </w:tblPrEx>
        <w:trPr>
          <w:trHeight w:val="156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35E9">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2A2B">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E2C1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 5.3.3  学生赴国（境）外交流、访学、实习、竞赛、参加国际会议、合作研究等情况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【可选】在学期间赴国（境）外或线上交流、访学、实习、参加国际会议、开展合作研究的学生数占在校生数的比例</w:t>
            </w:r>
          </w:p>
        </w:tc>
      </w:tr>
      <w:tr w14:paraId="00005D53">
        <w:tblPrEx>
          <w:tblCellMar>
            <w:top w:w="0" w:type="dxa"/>
            <w:left w:w="108" w:type="dxa"/>
            <w:bottom w:w="0" w:type="dxa"/>
            <w:right w:w="108" w:type="dxa"/>
          </w:tblCellMar>
        </w:tblPrEx>
        <w:trPr>
          <w:trHeight w:val="64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9F225">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A8BE3">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5.4 支持服务</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E36B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5.4.1 领导干部和教师参与学生工作的情况</w:t>
            </w:r>
          </w:p>
        </w:tc>
      </w:tr>
      <w:tr w14:paraId="6306456E">
        <w:tblPrEx>
          <w:tblCellMar>
            <w:top w:w="0" w:type="dxa"/>
            <w:left w:w="108" w:type="dxa"/>
            <w:bottom w:w="0" w:type="dxa"/>
            <w:right w:w="108" w:type="dxa"/>
          </w:tblCellMar>
        </w:tblPrEx>
        <w:trPr>
          <w:trHeight w:val="67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C66C2">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A0CC7">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72FA6">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5.4.2 学校开展学生指导服务工作（学业、职业生涯规划、就业、家庭经济困难学生资助、心理健康咨询等）情况，学业导师、心理辅导教师、校医等配备及师生交流活动专门场所建设情况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【必选】专职辅导员岗位与在校生比例≥1:200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【必选】专职从事心理健康教育教师与在校生比例≥1:4000且至少2名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【必选】专职就业指导教师和专职就业工作人员与应届毕业生比例≥1:500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【可选】本科生导师制的开展情况</w:t>
            </w:r>
          </w:p>
        </w:tc>
      </w:tr>
      <w:tr w14:paraId="6280EB06">
        <w:tblPrEx>
          <w:tblCellMar>
            <w:top w:w="0" w:type="dxa"/>
            <w:left w:w="108" w:type="dxa"/>
            <w:bottom w:w="0" w:type="dxa"/>
            <w:right w:w="108" w:type="dxa"/>
          </w:tblCellMar>
        </w:tblPrEx>
        <w:trPr>
          <w:trHeight w:val="79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E09D">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865A">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C4789">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5.4.3 与学分制改革和弹性学习相适应的管理制度、辅修专业制度、双学士学位制度建设情况</w:t>
            </w:r>
          </w:p>
        </w:tc>
      </w:tr>
      <w:tr w14:paraId="159B704F">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BBD4">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445DB">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29FC7">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K5.4.4 探索学生成长增值评价，重视学生学习体验、自我发展能力和职业发展能力的具体措施及实施成效</w:t>
            </w:r>
          </w:p>
        </w:tc>
      </w:tr>
      <w:tr w14:paraId="33192440">
        <w:tblPrEx>
          <w:tblCellMar>
            <w:top w:w="0" w:type="dxa"/>
            <w:left w:w="108" w:type="dxa"/>
            <w:bottom w:w="0" w:type="dxa"/>
            <w:right w:w="108" w:type="dxa"/>
          </w:tblCellMar>
        </w:tblPrEx>
        <w:trPr>
          <w:trHeight w:val="642"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268B9">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6.质量保障</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02F07">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6.1 质量管理</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8B305">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6.1.1 学校质量标准、质量管理制度、质量保障机构及 队伍建设情况</w:t>
            </w:r>
          </w:p>
        </w:tc>
      </w:tr>
      <w:tr w14:paraId="5B9B885F">
        <w:tblPrEx>
          <w:tblCellMar>
            <w:top w:w="0" w:type="dxa"/>
            <w:left w:w="108" w:type="dxa"/>
            <w:bottom w:w="0" w:type="dxa"/>
            <w:right w:w="108" w:type="dxa"/>
          </w:tblCellMar>
        </w:tblPrEx>
        <w:trPr>
          <w:trHeight w:val="1177"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ECDD">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46988">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FC61D">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6.1.2 加强考试管理、严肃考试纪律、完善过程性考核与结果性考核有机结合的学业考评制度、严把考试和毕业出口关的情况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【必选】普通本科毕业论文（设计）抽检结果</w:t>
            </w:r>
          </w:p>
        </w:tc>
      </w:tr>
      <w:tr w14:paraId="5274B3C1">
        <w:tblPrEx>
          <w:tblCellMar>
            <w:top w:w="0" w:type="dxa"/>
            <w:left w:w="108" w:type="dxa"/>
            <w:bottom w:w="0" w:type="dxa"/>
            <w:right w:w="108" w:type="dxa"/>
          </w:tblCellMar>
        </w:tblPrEx>
        <w:trPr>
          <w:trHeight w:val="85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116F">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E271C">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 质量改进</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91327">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6.2.1 学校内部质量评估制度的建立及接受外部评估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（含院校评估、专业认证等）情况</w:t>
            </w:r>
          </w:p>
        </w:tc>
      </w:tr>
      <w:tr w14:paraId="65577BFC">
        <w:tblPrEx>
          <w:tblCellMar>
            <w:top w:w="0" w:type="dxa"/>
            <w:left w:w="108" w:type="dxa"/>
            <w:bottom w:w="0" w:type="dxa"/>
            <w:right w:w="108" w:type="dxa"/>
          </w:tblCellMar>
        </w:tblPrEx>
        <w:trPr>
          <w:trHeight w:val="64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B89E">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41EF">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DA27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6.2.2 质量持续改进机制建设与改进效果</w:t>
            </w:r>
          </w:p>
        </w:tc>
      </w:tr>
      <w:tr w14:paraId="0DE0C69B">
        <w:tblPrEx>
          <w:tblCellMar>
            <w:top w:w="0" w:type="dxa"/>
            <w:left w:w="108" w:type="dxa"/>
            <w:bottom w:w="0" w:type="dxa"/>
            <w:right w:w="108" w:type="dxa"/>
          </w:tblCellMar>
        </w:tblPrEx>
        <w:trPr>
          <w:trHeight w:val="59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B7FAB">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F52EA">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6.3 质量文化</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36F51">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6.3.1</w:t>
            </w:r>
            <w:r>
              <w:rPr>
                <w:rStyle w:val="24"/>
                <w:rFonts w:hint="eastAsia" w:ascii="仿宋" w:hAnsi="仿宋" w:eastAsia="仿宋" w:cs="仿宋"/>
                <w:sz w:val="24"/>
                <w:szCs w:val="24"/>
                <w:lang w:bidi="ar"/>
              </w:rPr>
              <w:t xml:space="preserve"> </w:t>
            </w:r>
            <w:r>
              <w:rPr>
                <w:rStyle w:val="21"/>
                <w:rFonts w:hint="eastAsia" w:ascii="仿宋" w:hAnsi="仿宋" w:eastAsia="仿宋" w:cs="仿宋"/>
                <w:sz w:val="24"/>
                <w:szCs w:val="24"/>
                <w:lang w:bidi="ar"/>
              </w:rPr>
              <w:t>自觉、自省、自律、自查、自纠的质量文化建设情况</w:t>
            </w:r>
          </w:p>
        </w:tc>
      </w:tr>
      <w:tr w14:paraId="265D8201">
        <w:tblPrEx>
          <w:tblCellMar>
            <w:top w:w="0" w:type="dxa"/>
            <w:left w:w="108" w:type="dxa"/>
            <w:bottom w:w="0" w:type="dxa"/>
            <w:right w:w="108" w:type="dxa"/>
          </w:tblCellMar>
        </w:tblPrEx>
        <w:trPr>
          <w:trHeight w:val="61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0D04">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D7CF">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BE17A">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6.3.2 质量信息公开制度及年度质量报告</w:t>
            </w:r>
          </w:p>
        </w:tc>
      </w:tr>
      <w:tr w14:paraId="2E27DCE5">
        <w:tblPrEx>
          <w:tblCellMar>
            <w:top w:w="0" w:type="dxa"/>
            <w:left w:w="108" w:type="dxa"/>
            <w:bottom w:w="0" w:type="dxa"/>
            <w:right w:w="108" w:type="dxa"/>
          </w:tblCellMar>
        </w:tblPrEx>
        <w:trPr>
          <w:trHeight w:val="759"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DE7D2">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7.教学成效</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C5AF5">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7.1达成度</w:t>
            </w:r>
          </w:p>
        </w:tc>
        <w:tc>
          <w:tcPr>
            <w:tcW w:w="769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7B37470">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7.1.1 学校各专业人才培养目标的达成情况</w:t>
            </w:r>
          </w:p>
        </w:tc>
      </w:tr>
      <w:tr w14:paraId="39737FCB">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7058">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8EE1">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14A503F">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7.1.2</w:t>
            </w:r>
            <w:r>
              <w:rPr>
                <w:rStyle w:val="24"/>
                <w:rFonts w:hint="eastAsia" w:ascii="仿宋" w:hAnsi="仿宋" w:eastAsia="仿宋" w:cs="仿宋"/>
                <w:sz w:val="24"/>
                <w:szCs w:val="24"/>
                <w:lang w:bidi="ar"/>
              </w:rPr>
              <w:t xml:space="preserve"> </w:t>
            </w:r>
            <w:r>
              <w:rPr>
                <w:rStyle w:val="21"/>
                <w:rFonts w:hint="eastAsia" w:ascii="仿宋" w:hAnsi="仿宋" w:eastAsia="仿宋" w:cs="仿宋"/>
                <w:sz w:val="24"/>
                <w:szCs w:val="24"/>
                <w:lang w:bidi="ar"/>
              </w:rPr>
              <w:t>毕业生质量持续跟踪评价机制建立情况及跟踪评价结果</w:t>
            </w:r>
          </w:p>
        </w:tc>
      </w:tr>
      <w:tr w14:paraId="68E357CF">
        <w:tblPrEx>
          <w:tblCellMar>
            <w:top w:w="0" w:type="dxa"/>
            <w:left w:w="108" w:type="dxa"/>
            <w:bottom w:w="0" w:type="dxa"/>
            <w:right w:w="108" w:type="dxa"/>
          </w:tblCellMar>
        </w:tblPrEx>
        <w:trPr>
          <w:trHeight w:val="65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8EEE7">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E6F91">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7.2适应度</w:t>
            </w:r>
          </w:p>
        </w:tc>
        <w:tc>
          <w:tcPr>
            <w:tcW w:w="769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41959F4">
            <w:pPr>
              <w:widowControl/>
              <w:ind w:left="0" w:leftChars="0" w:firstLine="0" w:firstLineChars="0"/>
              <w:jc w:val="left"/>
              <w:textAlignment w:val="center"/>
              <w:rPr>
                <w:rFonts w:hint="eastAsia" w:ascii="仿宋" w:hAnsi="仿宋" w:eastAsia="仿宋" w:cs="仿宋"/>
                <w:color w:val="000000"/>
                <w:sz w:val="24"/>
                <w:szCs w:val="24"/>
              </w:rPr>
            </w:pPr>
            <w:r>
              <w:rPr>
                <w:rStyle w:val="21"/>
                <w:rFonts w:hint="eastAsia" w:ascii="仿宋" w:hAnsi="仿宋" w:eastAsia="仿宋" w:cs="仿宋"/>
                <w:sz w:val="24"/>
                <w:szCs w:val="24"/>
                <w:lang w:bidi="ar"/>
              </w:rPr>
              <w:t>7.2.1 学校本科生源状况</w:t>
            </w:r>
          </w:p>
        </w:tc>
      </w:tr>
      <w:tr w14:paraId="7113E7FB">
        <w:tblPrEx>
          <w:tblCellMar>
            <w:top w:w="0" w:type="dxa"/>
            <w:left w:w="108" w:type="dxa"/>
            <w:bottom w:w="0" w:type="dxa"/>
            <w:right w:w="108" w:type="dxa"/>
          </w:tblCellMar>
        </w:tblPrEx>
        <w:trPr>
          <w:trHeight w:val="151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AE17">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2ACC">
            <w:pPr>
              <w:jc w:val="center"/>
              <w:rPr>
                <w:rFonts w:hint="eastAsia" w:ascii="仿宋" w:hAnsi="仿宋" w:eastAsia="仿宋" w:cs="仿宋"/>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6ABB">
            <w:pPr>
              <w:widowControl/>
              <w:ind w:left="0" w:leftChars="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B7.2.2</w:t>
            </w:r>
          </w:p>
        </w:tc>
        <w:tc>
          <w:tcPr>
            <w:tcW w:w="61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39BAD99">
            <w:pPr>
              <w:widowControl/>
              <w:ind w:left="0" w:leftChars="0" w:firstLine="0" w:firstLineChars="0"/>
              <w:jc w:val="left"/>
              <w:textAlignment w:val="center"/>
              <w:rPr>
                <w:rFonts w:hint="eastAsia" w:ascii="仿宋" w:hAnsi="仿宋" w:eastAsia="仿宋" w:cs="仿宋"/>
                <w:b/>
                <w:bCs/>
                <w:color w:val="000000"/>
                <w:sz w:val="24"/>
                <w:szCs w:val="24"/>
              </w:rPr>
            </w:pPr>
            <w:r>
              <w:rPr>
                <w:rStyle w:val="22"/>
                <w:rFonts w:hint="eastAsia" w:ascii="仿宋" w:hAnsi="仿宋" w:eastAsia="仿宋" w:cs="仿宋"/>
                <w:sz w:val="24"/>
                <w:szCs w:val="24"/>
                <w:lang w:bidi="ar"/>
              </w:rPr>
              <w:t>B1</w:t>
            </w:r>
            <w:r>
              <w:rPr>
                <w:rStyle w:val="21"/>
                <w:rFonts w:hint="eastAsia" w:ascii="仿宋" w:hAnsi="仿宋" w:eastAsia="仿宋" w:cs="仿宋"/>
                <w:sz w:val="24"/>
                <w:szCs w:val="24"/>
                <w:lang w:bidi="ar"/>
              </w:rPr>
              <w:t xml:space="preserve"> 毕业生面向国家和经济社会发展需要就业情况、就业质量和职业发展情况</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【可选】升学率（含国内与国外）</w:t>
            </w:r>
            <w:r>
              <w:rPr>
                <w:rStyle w:val="21"/>
                <w:rFonts w:hint="eastAsia" w:ascii="仿宋" w:hAnsi="仿宋" w:eastAsia="仿宋" w:cs="仿宋"/>
                <w:sz w:val="24"/>
                <w:szCs w:val="24"/>
                <w:lang w:bidi="ar"/>
              </w:rPr>
              <w:br w:type="textWrapping"/>
            </w:r>
            <w:r>
              <w:rPr>
                <w:rStyle w:val="21"/>
                <w:rFonts w:hint="eastAsia" w:ascii="仿宋" w:hAnsi="仿宋" w:eastAsia="仿宋" w:cs="仿宋"/>
                <w:sz w:val="24"/>
                <w:szCs w:val="24"/>
                <w:lang w:bidi="ar"/>
              </w:rPr>
              <w:t>【可选】应届本科生初次就业率及结构</w:t>
            </w:r>
          </w:p>
        </w:tc>
      </w:tr>
      <w:tr w14:paraId="63899F6B">
        <w:tblPrEx>
          <w:tblCellMar>
            <w:top w:w="0" w:type="dxa"/>
            <w:left w:w="108" w:type="dxa"/>
            <w:bottom w:w="0" w:type="dxa"/>
            <w:right w:w="108" w:type="dxa"/>
          </w:tblCellMar>
        </w:tblPrEx>
        <w:trPr>
          <w:trHeight w:val="1527"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225BB">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0D1FB">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7.3 保障度</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F9D02">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7.3.1 教学经费以及教室、实验室、图书馆、体育场馆、艺术场馆等资源条件满足教学需要情况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【必选】生均本科实验经费（元）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【必选】生均本科实习经费（元）</w:t>
            </w:r>
          </w:p>
        </w:tc>
      </w:tr>
      <w:tr w14:paraId="57C022B6">
        <w:tblPrEx>
          <w:tblCellMar>
            <w:top w:w="0" w:type="dxa"/>
            <w:left w:w="108" w:type="dxa"/>
            <w:bottom w:w="0" w:type="dxa"/>
            <w:right w:w="108" w:type="dxa"/>
          </w:tblCellMar>
        </w:tblPrEx>
        <w:trPr>
          <w:trHeight w:val="149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D9633">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C4AA">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05E4">
            <w:pPr>
              <w:widowControl/>
              <w:ind w:left="0" w:leftChars="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7.3.2 教师的数量、结构、教学水平、产学研用能力、国际视野、教学投入等满足人才培养需要情况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【必选】生师比（要求见备注 8）</w:t>
            </w:r>
          </w:p>
          <w:p w14:paraId="4E09C57E">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【必选】具有硕士学位、博士学位教师占专任教师比例≥50%</w:t>
            </w:r>
          </w:p>
        </w:tc>
      </w:tr>
      <w:tr w14:paraId="301A68F6">
        <w:tblPrEx>
          <w:tblCellMar>
            <w:top w:w="0" w:type="dxa"/>
            <w:left w:w="108" w:type="dxa"/>
            <w:bottom w:w="0" w:type="dxa"/>
            <w:right w:w="108" w:type="dxa"/>
          </w:tblCellMar>
        </w:tblPrEx>
        <w:trPr>
          <w:trHeight w:val="64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22A6">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431F6">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7.4 有效度</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2E71C">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7.4.1 学校人才培养各环节有序运行情况</w:t>
            </w:r>
          </w:p>
        </w:tc>
      </w:tr>
      <w:tr w14:paraId="4052EF64">
        <w:tblPrEx>
          <w:tblCellMar>
            <w:top w:w="0" w:type="dxa"/>
            <w:left w:w="108" w:type="dxa"/>
            <w:bottom w:w="0" w:type="dxa"/>
            <w:right w:w="108" w:type="dxa"/>
          </w:tblCellMar>
        </w:tblPrEx>
        <w:trPr>
          <w:trHeight w:val="63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ED41">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B30E">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2E516">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7.4.2 学校人才培养工作持续改进、持续提升情况</w:t>
            </w:r>
          </w:p>
        </w:tc>
      </w:tr>
      <w:tr w14:paraId="5BB7D406">
        <w:tblPrEx>
          <w:tblCellMar>
            <w:top w:w="0" w:type="dxa"/>
            <w:left w:w="108" w:type="dxa"/>
            <w:bottom w:w="0" w:type="dxa"/>
            <w:right w:w="108" w:type="dxa"/>
          </w:tblCellMar>
        </w:tblPrEx>
        <w:trPr>
          <w:trHeight w:val="614"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0BB0">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6903">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01FA1">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7.4.3 近五年专业领域的优秀毕业生十个典型案例及培养经验</w:t>
            </w:r>
          </w:p>
        </w:tc>
      </w:tr>
      <w:tr w14:paraId="046A1F70">
        <w:tblPrEx>
          <w:tblCellMar>
            <w:top w:w="0" w:type="dxa"/>
            <w:left w:w="108" w:type="dxa"/>
            <w:bottom w:w="0" w:type="dxa"/>
            <w:right w:w="108" w:type="dxa"/>
          </w:tblCellMar>
        </w:tblPrEx>
        <w:trPr>
          <w:trHeight w:val="73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06E4">
            <w:pPr>
              <w:jc w:val="center"/>
              <w:rPr>
                <w:rFonts w:hint="eastAsia" w:ascii="仿宋" w:hAnsi="仿宋" w:eastAsia="仿宋" w:cs="仿宋"/>
                <w:color w:val="000000"/>
                <w:sz w:val="24"/>
                <w:szCs w:val="24"/>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6A285">
            <w:pPr>
              <w:widowControl/>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 满意度</w:t>
            </w: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F5E32">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7.5.1 学生（毕业生与在校生）对学习与成长的满意度</w:t>
            </w:r>
          </w:p>
        </w:tc>
      </w:tr>
      <w:tr w14:paraId="468168D9">
        <w:tblPrEx>
          <w:tblCellMar>
            <w:top w:w="0" w:type="dxa"/>
            <w:left w:w="108" w:type="dxa"/>
            <w:bottom w:w="0" w:type="dxa"/>
            <w:right w:w="108" w:type="dxa"/>
          </w:tblCellMar>
        </w:tblPrEx>
        <w:trPr>
          <w:trHeight w:val="65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5A98">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8D326">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6C16F">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7.5.2 教师对学校教育教学工作的满意度</w:t>
            </w:r>
          </w:p>
        </w:tc>
      </w:tr>
      <w:tr w14:paraId="5EB592DA">
        <w:tblPrEx>
          <w:tblCellMar>
            <w:top w:w="0" w:type="dxa"/>
            <w:left w:w="108" w:type="dxa"/>
            <w:bottom w:w="0" w:type="dxa"/>
            <w:right w:w="108" w:type="dxa"/>
          </w:tblCellMar>
        </w:tblPrEx>
        <w:trPr>
          <w:trHeight w:val="63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FE44">
            <w:pPr>
              <w:jc w:val="center"/>
              <w:rPr>
                <w:rFonts w:hint="eastAsia" w:ascii="仿宋" w:hAnsi="仿宋" w:eastAsia="仿宋" w:cs="仿宋"/>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EA38A">
            <w:pPr>
              <w:jc w:val="center"/>
              <w:rPr>
                <w:rFonts w:hint="eastAsia" w:ascii="仿宋" w:hAnsi="仿宋" w:eastAsia="仿宋" w:cs="仿宋"/>
                <w:color w:val="000000"/>
                <w:sz w:val="24"/>
                <w:szCs w:val="24"/>
              </w:rPr>
            </w:pPr>
          </w:p>
        </w:tc>
        <w:tc>
          <w:tcPr>
            <w:tcW w:w="7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F9172">
            <w:pPr>
              <w:widowControl/>
              <w:ind w:left="0" w:leftChars="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7.5.3 用人单位的满意度</w:t>
            </w:r>
          </w:p>
        </w:tc>
      </w:tr>
    </w:tbl>
    <w:p w14:paraId="6E8AEF42">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3329E130">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 根据《浙江省普通高等学校本科教育教学审核评估指标体系（试行）》，我校选取了对应第二类第一种的评估类型，并选取了相应的“统一必选项”、“类型必选项”和“特色可选项”。其中“特色可选项”标识“K”，是根据学校的办学定位和人才培养目标做的自主选择。《浙江省普通高等学校本科教育教学审核评估指标体系（试行）》指标体系中标识为“X”的“首评限选项”标识，如“X3.1”，适用于首次参加审核评估的第二类第三种高校，我校为非选项。</w:t>
      </w:r>
    </w:p>
    <w:p w14:paraId="2F8D8AF9">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 审核重点中定量指标的具体要求可参考国家相关标准。其中，【必选】是指该定量指标学校必须选择；【可选】是指该定量指标学校可根据自身发展需要和实际情况自主选择至少8项。</w:t>
      </w:r>
    </w:p>
    <w:p w14:paraId="09EC2A3A">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 表中定量指标计算原则上参照《中国教育监测与评价统计指标体系（2020年版）》（教发〔2020〕6号）。</w:t>
      </w:r>
    </w:p>
    <w:p w14:paraId="0F1757D1">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 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25341C40">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 年新增教学科研仪器设备所占比例（参照教育部教发〔2004〕2号文件）：年新增教学科研仪器设备所占比例≥10%。凡教学仪器设备总值超过1亿元的高校，当年新增教学仪器设备值超过1000万元，该项指标即为合格。</w:t>
      </w:r>
    </w:p>
    <w:p w14:paraId="6AAF82FC">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 生均教学科研仪器设备值=普通高校教学与科研仪器设备总资产值/折合在校生数（参照教育部教发〔2004〕2号文件），综合、师范、民族院校，工科、农、林院校和医学院校≥5000元/生，体育、艺术院校≥4000元/生，语文、财经、政法院校≥3000元/生。</w:t>
      </w:r>
    </w:p>
    <w:p w14:paraId="0B73F9A3">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 生师比=折合在校生数/专任教师总数（参照教育部教发〔2004〕2号文件），综合、师范、民族院校，工科、农、林院校和语文、财经、政法院校≤18:1；医学院校≤16:1；体育、艺术院校≤11:1。</w:t>
      </w:r>
    </w:p>
    <w:p w14:paraId="525C8D0D">
      <w:pPr>
        <w:adjustRightInd w:val="0"/>
        <w:snapToGrid w:val="0"/>
        <w:spacing w:line="5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4ACCFA21">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8. 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68EA">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43432">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A43432">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6E18">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0MjAxNTczNjQ3tzRU0lEKTi0uzszPAykwrAUA+eJjeCwAAAA="/>
    <w:docVar w:name="commondata" w:val="eyJoZGlkIjoiYzY2YzEzNjVkYWVjOTM2ZTk1OTM4M2I1YTRlNTMwZGQifQ=="/>
  </w:docVars>
  <w:rsids>
    <w:rsidRoot w:val="008D6E4B"/>
    <w:rsid w:val="00000914"/>
    <w:rsid w:val="0002270A"/>
    <w:rsid w:val="00054D65"/>
    <w:rsid w:val="000747C7"/>
    <w:rsid w:val="000A0ACC"/>
    <w:rsid w:val="000A1ECE"/>
    <w:rsid w:val="000B1F3C"/>
    <w:rsid w:val="000B31E3"/>
    <w:rsid w:val="001F40A8"/>
    <w:rsid w:val="002041EE"/>
    <w:rsid w:val="0021037B"/>
    <w:rsid w:val="00243F4B"/>
    <w:rsid w:val="00245D9B"/>
    <w:rsid w:val="00290E92"/>
    <w:rsid w:val="002A51EC"/>
    <w:rsid w:val="002D6729"/>
    <w:rsid w:val="00344668"/>
    <w:rsid w:val="003657CE"/>
    <w:rsid w:val="00382BF0"/>
    <w:rsid w:val="00392AA0"/>
    <w:rsid w:val="00393082"/>
    <w:rsid w:val="003C50B4"/>
    <w:rsid w:val="003E5A14"/>
    <w:rsid w:val="00447715"/>
    <w:rsid w:val="00463DF6"/>
    <w:rsid w:val="004F0EE2"/>
    <w:rsid w:val="00556154"/>
    <w:rsid w:val="005562FF"/>
    <w:rsid w:val="00571483"/>
    <w:rsid w:val="005807C9"/>
    <w:rsid w:val="00592F49"/>
    <w:rsid w:val="005C39A3"/>
    <w:rsid w:val="006670F5"/>
    <w:rsid w:val="006C0EBA"/>
    <w:rsid w:val="006F50C2"/>
    <w:rsid w:val="00715C00"/>
    <w:rsid w:val="007244B3"/>
    <w:rsid w:val="00754C8D"/>
    <w:rsid w:val="007668FA"/>
    <w:rsid w:val="00784542"/>
    <w:rsid w:val="007A7513"/>
    <w:rsid w:val="007D0CDC"/>
    <w:rsid w:val="007D5134"/>
    <w:rsid w:val="008623C9"/>
    <w:rsid w:val="00884707"/>
    <w:rsid w:val="008B3001"/>
    <w:rsid w:val="008D6E4B"/>
    <w:rsid w:val="008E06D1"/>
    <w:rsid w:val="008E3189"/>
    <w:rsid w:val="008E59D0"/>
    <w:rsid w:val="008E630C"/>
    <w:rsid w:val="00936902"/>
    <w:rsid w:val="00984A66"/>
    <w:rsid w:val="00997BBF"/>
    <w:rsid w:val="00A05175"/>
    <w:rsid w:val="00A859DA"/>
    <w:rsid w:val="00AC56A8"/>
    <w:rsid w:val="00AE4B06"/>
    <w:rsid w:val="00B204A4"/>
    <w:rsid w:val="00B55857"/>
    <w:rsid w:val="00B64AFD"/>
    <w:rsid w:val="00BF1033"/>
    <w:rsid w:val="00C267A3"/>
    <w:rsid w:val="00C64117"/>
    <w:rsid w:val="00C71B18"/>
    <w:rsid w:val="00C96BCF"/>
    <w:rsid w:val="00CB6AB9"/>
    <w:rsid w:val="00CC0525"/>
    <w:rsid w:val="00CC24A7"/>
    <w:rsid w:val="00D05677"/>
    <w:rsid w:val="00D13ECD"/>
    <w:rsid w:val="00D63637"/>
    <w:rsid w:val="00D94712"/>
    <w:rsid w:val="00DA4BCE"/>
    <w:rsid w:val="00DD5AE8"/>
    <w:rsid w:val="00DE3B3F"/>
    <w:rsid w:val="00E06167"/>
    <w:rsid w:val="00E1032B"/>
    <w:rsid w:val="00E10593"/>
    <w:rsid w:val="00E53633"/>
    <w:rsid w:val="00E5736D"/>
    <w:rsid w:val="00EA3E85"/>
    <w:rsid w:val="00F03D0D"/>
    <w:rsid w:val="00F46B85"/>
    <w:rsid w:val="00F522B4"/>
    <w:rsid w:val="00F53FDA"/>
    <w:rsid w:val="00F81B57"/>
    <w:rsid w:val="00F81EA3"/>
    <w:rsid w:val="00F925B9"/>
    <w:rsid w:val="00FB5C1D"/>
    <w:rsid w:val="00FC2984"/>
    <w:rsid w:val="01DF5C17"/>
    <w:rsid w:val="01E21263"/>
    <w:rsid w:val="01FC328E"/>
    <w:rsid w:val="024E61F0"/>
    <w:rsid w:val="034D164A"/>
    <w:rsid w:val="037F7749"/>
    <w:rsid w:val="03BF316B"/>
    <w:rsid w:val="05F81055"/>
    <w:rsid w:val="06AC2AEC"/>
    <w:rsid w:val="06BA27AF"/>
    <w:rsid w:val="07071134"/>
    <w:rsid w:val="0753050D"/>
    <w:rsid w:val="07811441"/>
    <w:rsid w:val="082500FC"/>
    <w:rsid w:val="09870885"/>
    <w:rsid w:val="09B86E94"/>
    <w:rsid w:val="09D92A71"/>
    <w:rsid w:val="0A006F7F"/>
    <w:rsid w:val="0A176F80"/>
    <w:rsid w:val="0A6D4C30"/>
    <w:rsid w:val="0BEA2EAA"/>
    <w:rsid w:val="0CA74A68"/>
    <w:rsid w:val="0E5352AC"/>
    <w:rsid w:val="0E945864"/>
    <w:rsid w:val="0ECC3B7F"/>
    <w:rsid w:val="0F907408"/>
    <w:rsid w:val="0FE66C9F"/>
    <w:rsid w:val="10D475C5"/>
    <w:rsid w:val="11D507D7"/>
    <w:rsid w:val="12096398"/>
    <w:rsid w:val="120A31AF"/>
    <w:rsid w:val="122E5DFF"/>
    <w:rsid w:val="129C53F3"/>
    <w:rsid w:val="131575BF"/>
    <w:rsid w:val="132C1E68"/>
    <w:rsid w:val="146840A4"/>
    <w:rsid w:val="15204AEC"/>
    <w:rsid w:val="15503C2B"/>
    <w:rsid w:val="15F5345B"/>
    <w:rsid w:val="16027CCE"/>
    <w:rsid w:val="17723A7B"/>
    <w:rsid w:val="17867F19"/>
    <w:rsid w:val="18E214F8"/>
    <w:rsid w:val="19466124"/>
    <w:rsid w:val="197310D0"/>
    <w:rsid w:val="1A18186E"/>
    <w:rsid w:val="1A597FD2"/>
    <w:rsid w:val="1A954D57"/>
    <w:rsid w:val="1B697EA8"/>
    <w:rsid w:val="1B915731"/>
    <w:rsid w:val="1C4D0525"/>
    <w:rsid w:val="1E0F0514"/>
    <w:rsid w:val="1E3F2CD5"/>
    <w:rsid w:val="1F7F7C9A"/>
    <w:rsid w:val="206375BB"/>
    <w:rsid w:val="20B61DE1"/>
    <w:rsid w:val="21905A7F"/>
    <w:rsid w:val="21D50045"/>
    <w:rsid w:val="22810E2B"/>
    <w:rsid w:val="22966886"/>
    <w:rsid w:val="22B9567F"/>
    <w:rsid w:val="23537D6B"/>
    <w:rsid w:val="23DA7B95"/>
    <w:rsid w:val="23E66539"/>
    <w:rsid w:val="240D1D18"/>
    <w:rsid w:val="24155071"/>
    <w:rsid w:val="244B2840"/>
    <w:rsid w:val="249A6DF1"/>
    <w:rsid w:val="255A6E84"/>
    <w:rsid w:val="25DF6E13"/>
    <w:rsid w:val="26061115"/>
    <w:rsid w:val="26795443"/>
    <w:rsid w:val="26997893"/>
    <w:rsid w:val="27F402D5"/>
    <w:rsid w:val="2826521B"/>
    <w:rsid w:val="284D138F"/>
    <w:rsid w:val="292545CE"/>
    <w:rsid w:val="29343AE1"/>
    <w:rsid w:val="298E7457"/>
    <w:rsid w:val="2AB86DB3"/>
    <w:rsid w:val="2B3C2979"/>
    <w:rsid w:val="2B801021"/>
    <w:rsid w:val="2C587C47"/>
    <w:rsid w:val="2C966A83"/>
    <w:rsid w:val="2CD91835"/>
    <w:rsid w:val="2D572256"/>
    <w:rsid w:val="2DEC7744"/>
    <w:rsid w:val="2E5C7ABD"/>
    <w:rsid w:val="2F1A5FCB"/>
    <w:rsid w:val="300C06F6"/>
    <w:rsid w:val="31331383"/>
    <w:rsid w:val="317A39CD"/>
    <w:rsid w:val="31903F88"/>
    <w:rsid w:val="323701D4"/>
    <w:rsid w:val="32603978"/>
    <w:rsid w:val="3299109C"/>
    <w:rsid w:val="32BC1BA2"/>
    <w:rsid w:val="32CB34CA"/>
    <w:rsid w:val="332E2253"/>
    <w:rsid w:val="33C63593"/>
    <w:rsid w:val="33D7607B"/>
    <w:rsid w:val="3454129D"/>
    <w:rsid w:val="345F5250"/>
    <w:rsid w:val="349F4C0E"/>
    <w:rsid w:val="34AC189B"/>
    <w:rsid w:val="35523A2F"/>
    <w:rsid w:val="3660217B"/>
    <w:rsid w:val="36941E25"/>
    <w:rsid w:val="36A10E3B"/>
    <w:rsid w:val="38107BD1"/>
    <w:rsid w:val="38164F1F"/>
    <w:rsid w:val="392B5080"/>
    <w:rsid w:val="3A5D7130"/>
    <w:rsid w:val="3B250F82"/>
    <w:rsid w:val="3B6C511E"/>
    <w:rsid w:val="3C3026EA"/>
    <w:rsid w:val="3C6628CE"/>
    <w:rsid w:val="3CDB69FF"/>
    <w:rsid w:val="3CE21E78"/>
    <w:rsid w:val="3D9367AD"/>
    <w:rsid w:val="3DDE2F12"/>
    <w:rsid w:val="3DFF5234"/>
    <w:rsid w:val="3E285F8A"/>
    <w:rsid w:val="3E54251B"/>
    <w:rsid w:val="3F1C013E"/>
    <w:rsid w:val="3F550624"/>
    <w:rsid w:val="3F5E1222"/>
    <w:rsid w:val="3F892743"/>
    <w:rsid w:val="406B3DDC"/>
    <w:rsid w:val="40EB3399"/>
    <w:rsid w:val="40F47F6B"/>
    <w:rsid w:val="416F1E2F"/>
    <w:rsid w:val="41767F83"/>
    <w:rsid w:val="426923B8"/>
    <w:rsid w:val="43081887"/>
    <w:rsid w:val="43623087"/>
    <w:rsid w:val="436C6603"/>
    <w:rsid w:val="4430276F"/>
    <w:rsid w:val="45654C8F"/>
    <w:rsid w:val="458E20B9"/>
    <w:rsid w:val="45A63BA6"/>
    <w:rsid w:val="45A748EE"/>
    <w:rsid w:val="45D32B2E"/>
    <w:rsid w:val="45DC3BD8"/>
    <w:rsid w:val="4614767E"/>
    <w:rsid w:val="46FF2728"/>
    <w:rsid w:val="47FA02DB"/>
    <w:rsid w:val="48243082"/>
    <w:rsid w:val="49555444"/>
    <w:rsid w:val="49E05655"/>
    <w:rsid w:val="4A9B1F72"/>
    <w:rsid w:val="4AC620E2"/>
    <w:rsid w:val="4AD91EEB"/>
    <w:rsid w:val="4BC87715"/>
    <w:rsid w:val="4BE111D2"/>
    <w:rsid w:val="4C2F51C3"/>
    <w:rsid w:val="4C4154B0"/>
    <w:rsid w:val="4D330192"/>
    <w:rsid w:val="4D697710"/>
    <w:rsid w:val="4E3008AC"/>
    <w:rsid w:val="4E6A577A"/>
    <w:rsid w:val="4E8E1F5D"/>
    <w:rsid w:val="4EA85EEE"/>
    <w:rsid w:val="4FE44462"/>
    <w:rsid w:val="50772F8E"/>
    <w:rsid w:val="511D0F3D"/>
    <w:rsid w:val="514069D9"/>
    <w:rsid w:val="5143660E"/>
    <w:rsid w:val="529D1BDA"/>
    <w:rsid w:val="52B314B2"/>
    <w:rsid w:val="52D64C46"/>
    <w:rsid w:val="535A1483"/>
    <w:rsid w:val="536A0183"/>
    <w:rsid w:val="53FB7D50"/>
    <w:rsid w:val="54003CB9"/>
    <w:rsid w:val="542E16B3"/>
    <w:rsid w:val="545033D7"/>
    <w:rsid w:val="54A26BDC"/>
    <w:rsid w:val="57234E12"/>
    <w:rsid w:val="57F76B2D"/>
    <w:rsid w:val="581260D2"/>
    <w:rsid w:val="582801DC"/>
    <w:rsid w:val="58FA3F37"/>
    <w:rsid w:val="5A2715CA"/>
    <w:rsid w:val="5AD05272"/>
    <w:rsid w:val="5B6D1291"/>
    <w:rsid w:val="5BC811C9"/>
    <w:rsid w:val="5BE96412"/>
    <w:rsid w:val="5BF0183A"/>
    <w:rsid w:val="5C1557E5"/>
    <w:rsid w:val="5C1636B0"/>
    <w:rsid w:val="5C5E240A"/>
    <w:rsid w:val="5D443C97"/>
    <w:rsid w:val="5DB463B2"/>
    <w:rsid w:val="5E5D64CC"/>
    <w:rsid w:val="5E625B67"/>
    <w:rsid w:val="5E6A579E"/>
    <w:rsid w:val="5E7F1A74"/>
    <w:rsid w:val="5EA2778D"/>
    <w:rsid w:val="5EDD1D0C"/>
    <w:rsid w:val="5FFE4DD8"/>
    <w:rsid w:val="60A348AF"/>
    <w:rsid w:val="6106379C"/>
    <w:rsid w:val="613C63A1"/>
    <w:rsid w:val="623604CB"/>
    <w:rsid w:val="62F31AFE"/>
    <w:rsid w:val="62FD472A"/>
    <w:rsid w:val="6434552D"/>
    <w:rsid w:val="656B08E6"/>
    <w:rsid w:val="65707F0C"/>
    <w:rsid w:val="667A0B2E"/>
    <w:rsid w:val="66AC60CF"/>
    <w:rsid w:val="66AF3F8D"/>
    <w:rsid w:val="66F00263"/>
    <w:rsid w:val="67033466"/>
    <w:rsid w:val="671958AB"/>
    <w:rsid w:val="68067F98"/>
    <w:rsid w:val="68A05204"/>
    <w:rsid w:val="696B7927"/>
    <w:rsid w:val="696F059A"/>
    <w:rsid w:val="6A72463D"/>
    <w:rsid w:val="6BB578C6"/>
    <w:rsid w:val="6C03386D"/>
    <w:rsid w:val="6C1400EB"/>
    <w:rsid w:val="6DC66C97"/>
    <w:rsid w:val="6DF91315"/>
    <w:rsid w:val="6E46167B"/>
    <w:rsid w:val="6E5042A8"/>
    <w:rsid w:val="6F054167"/>
    <w:rsid w:val="6FA52B33"/>
    <w:rsid w:val="713D0A40"/>
    <w:rsid w:val="71707A73"/>
    <w:rsid w:val="71950224"/>
    <w:rsid w:val="725D0E4E"/>
    <w:rsid w:val="72FA4C75"/>
    <w:rsid w:val="743021DF"/>
    <w:rsid w:val="74977A30"/>
    <w:rsid w:val="74F3598D"/>
    <w:rsid w:val="75410DEE"/>
    <w:rsid w:val="75624D6E"/>
    <w:rsid w:val="756C73FA"/>
    <w:rsid w:val="76AF2AF3"/>
    <w:rsid w:val="76CE3AA4"/>
    <w:rsid w:val="772C5186"/>
    <w:rsid w:val="794064F6"/>
    <w:rsid w:val="79507C6C"/>
    <w:rsid w:val="7A223EAD"/>
    <w:rsid w:val="7A8F6158"/>
    <w:rsid w:val="7AA31C03"/>
    <w:rsid w:val="7B825BEA"/>
    <w:rsid w:val="7CC31B0B"/>
    <w:rsid w:val="7D4A6262"/>
    <w:rsid w:val="7D4C5740"/>
    <w:rsid w:val="7DC728FC"/>
    <w:rsid w:val="7F0215EE"/>
    <w:rsid w:val="7FDD34C2"/>
    <w:rsid w:val="7FE1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3"/>
    <w:qFormat/>
    <w:uiPriority w:val="9"/>
    <w:pPr>
      <w:keepNext/>
      <w:keepLines/>
      <w:spacing w:before="120" w:line="580" w:lineRule="exact"/>
      <w:outlineLvl w:val="0"/>
    </w:pPr>
    <w:rPr>
      <w:rFonts w:eastAsia="黑体"/>
      <w:b/>
      <w:bCs/>
      <w:kern w:val="44"/>
      <w:szCs w:val="44"/>
    </w:rPr>
  </w:style>
  <w:style w:type="paragraph" w:styleId="3">
    <w:name w:val="heading 2"/>
    <w:basedOn w:val="1"/>
    <w:next w:val="1"/>
    <w:link w:val="14"/>
    <w:unhideWhenUsed/>
    <w:qFormat/>
    <w:uiPriority w:val="9"/>
    <w:pPr>
      <w:keepNext/>
      <w:keepLines/>
      <w:spacing w:before="120"/>
      <w:outlineLvl w:val="1"/>
    </w:pPr>
    <w:rPr>
      <w:rFonts w:eastAsia="楷体_GB2312" w:asciiTheme="majorHAnsi" w:hAnsiTheme="majorHAnsi" w:cstheme="majorBidi"/>
      <w:b/>
      <w:bCs/>
      <w:szCs w:val="32"/>
    </w:rPr>
  </w:style>
  <w:style w:type="paragraph" w:styleId="4">
    <w:name w:val="heading 3"/>
    <w:basedOn w:val="1"/>
    <w:next w:val="1"/>
    <w:link w:val="15"/>
    <w:unhideWhenUsed/>
    <w:qFormat/>
    <w:uiPriority w:val="9"/>
    <w:pPr>
      <w:keepNext/>
      <w:keepLines/>
      <w:spacing w:before="120"/>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480" w:lineRule="exact"/>
      <w:ind w:firstLine="560"/>
    </w:pPr>
    <w:rPr>
      <w:rFonts w:ascii="仿宋_GB2312" w:hAnsi="仿宋_GB2312" w:cs="Times New Roman"/>
      <w:sz w:val="28"/>
      <w:szCs w:val="28"/>
    </w:r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itle"/>
    <w:basedOn w:val="1"/>
    <w:next w:val="1"/>
    <w:link w:val="12"/>
    <w:qFormat/>
    <w:uiPriority w:val="10"/>
    <w:pPr>
      <w:spacing w:before="240" w:after="60"/>
      <w:jc w:val="center"/>
      <w:outlineLvl w:val="0"/>
    </w:pPr>
    <w:rPr>
      <w:rFonts w:ascii="方正小标宋简体" w:eastAsia="方正小标宋简体" w:hAnsiTheme="majorHAnsi" w:cstheme="majorBidi"/>
      <w:b/>
      <w:bCs/>
      <w:sz w:val="44"/>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字符"/>
    <w:basedOn w:val="11"/>
    <w:link w:val="8"/>
    <w:qFormat/>
    <w:uiPriority w:val="10"/>
    <w:rPr>
      <w:rFonts w:ascii="方正小标宋简体" w:eastAsia="方正小标宋简体" w:hAnsiTheme="majorHAnsi" w:cstheme="majorBidi"/>
      <w:b/>
      <w:bCs/>
      <w:sz w:val="44"/>
      <w:szCs w:val="32"/>
    </w:rPr>
  </w:style>
  <w:style w:type="character" w:customStyle="1" w:styleId="13">
    <w:name w:val="标题 1 字符"/>
    <w:basedOn w:val="11"/>
    <w:link w:val="2"/>
    <w:qFormat/>
    <w:uiPriority w:val="9"/>
    <w:rPr>
      <w:rFonts w:eastAsia="黑体"/>
      <w:b/>
      <w:bCs/>
      <w:kern w:val="44"/>
      <w:sz w:val="32"/>
      <w:szCs w:val="44"/>
    </w:rPr>
  </w:style>
  <w:style w:type="character" w:customStyle="1" w:styleId="14">
    <w:name w:val="标题 2 字符"/>
    <w:basedOn w:val="11"/>
    <w:link w:val="3"/>
    <w:qFormat/>
    <w:uiPriority w:val="9"/>
    <w:rPr>
      <w:rFonts w:eastAsia="楷体_GB2312" w:asciiTheme="majorHAnsi" w:hAnsiTheme="majorHAnsi" w:cstheme="majorBidi"/>
      <w:b/>
      <w:bCs/>
      <w:sz w:val="32"/>
      <w:szCs w:val="32"/>
    </w:rPr>
  </w:style>
  <w:style w:type="character" w:customStyle="1" w:styleId="15">
    <w:name w:val="标题 3 字符"/>
    <w:basedOn w:val="11"/>
    <w:link w:val="4"/>
    <w:qFormat/>
    <w:uiPriority w:val="9"/>
    <w:rPr>
      <w:rFonts w:eastAsia="仿宋_GB2312"/>
      <w:b/>
      <w:bCs/>
      <w:sz w:val="32"/>
      <w:szCs w:val="32"/>
    </w:rPr>
  </w:style>
  <w:style w:type="character" w:customStyle="1" w:styleId="16">
    <w:name w:val="页眉 字符"/>
    <w:basedOn w:val="11"/>
    <w:link w:val="7"/>
    <w:qFormat/>
    <w:uiPriority w:val="99"/>
    <w:rPr>
      <w:rFonts w:eastAsia="仿宋_GB2312"/>
      <w:sz w:val="18"/>
      <w:szCs w:val="18"/>
    </w:rPr>
  </w:style>
  <w:style w:type="character" w:customStyle="1" w:styleId="17">
    <w:name w:val="页脚 字符"/>
    <w:basedOn w:val="11"/>
    <w:link w:val="6"/>
    <w:qFormat/>
    <w:uiPriority w:val="99"/>
    <w:rPr>
      <w:rFonts w:eastAsia="仿宋_GB2312"/>
      <w:sz w:val="18"/>
      <w:szCs w:val="18"/>
    </w:rPr>
  </w:style>
  <w:style w:type="paragraph" w:styleId="18">
    <w:name w:val="List Paragraph"/>
    <w:basedOn w:val="1"/>
    <w:qFormat/>
    <w:uiPriority w:val="99"/>
    <w:pPr>
      <w:spacing w:line="240" w:lineRule="auto"/>
      <w:ind w:firstLine="420"/>
    </w:pPr>
    <w:rPr>
      <w:rFonts w:eastAsiaTheme="minorEastAsia"/>
      <w:sz w:val="21"/>
    </w:rPr>
  </w:style>
  <w:style w:type="table" w:customStyle="1" w:styleId="19">
    <w:name w:val="网格型1"/>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1">
    <w:name w:val="font31"/>
    <w:basedOn w:val="11"/>
    <w:qFormat/>
    <w:uiPriority w:val="0"/>
    <w:rPr>
      <w:rFonts w:hint="eastAsia" w:ascii="仿宋" w:hAnsi="仿宋" w:eastAsia="仿宋" w:cs="仿宋"/>
      <w:color w:val="000000"/>
      <w:sz w:val="28"/>
      <w:szCs w:val="28"/>
      <w:u w:val="none"/>
    </w:rPr>
  </w:style>
  <w:style w:type="character" w:customStyle="1" w:styleId="22">
    <w:name w:val="font51"/>
    <w:basedOn w:val="11"/>
    <w:qFormat/>
    <w:uiPriority w:val="0"/>
    <w:rPr>
      <w:rFonts w:hint="eastAsia" w:ascii="仿宋" w:hAnsi="仿宋" w:eastAsia="仿宋" w:cs="仿宋"/>
      <w:b/>
      <w:bCs/>
      <w:color w:val="000000"/>
      <w:sz w:val="28"/>
      <w:szCs w:val="28"/>
      <w:u w:val="none"/>
    </w:rPr>
  </w:style>
  <w:style w:type="character" w:customStyle="1" w:styleId="23">
    <w:name w:val="font11"/>
    <w:basedOn w:val="11"/>
    <w:qFormat/>
    <w:uiPriority w:val="0"/>
    <w:rPr>
      <w:rFonts w:hint="default" w:ascii="Times New Roman" w:hAnsi="Times New Roman" w:cs="Times New Roman"/>
      <w:b/>
      <w:bCs/>
      <w:color w:val="000000"/>
      <w:sz w:val="28"/>
      <w:szCs w:val="28"/>
      <w:u w:val="none"/>
    </w:rPr>
  </w:style>
  <w:style w:type="character" w:customStyle="1" w:styleId="24">
    <w:name w:val="font2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260;&#33606;&#32780;&#34892;\Documents\&#33258;&#23450;&#20041;%20Office%20&#27169;&#26495;\&#26631;&#20934;&#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标准公文模板.dotx</Template>
  <Pages>19</Pages>
  <Words>6183</Words>
  <Characters>6814</Characters>
  <Lines>81</Lines>
  <Paragraphs>23</Paragraphs>
  <TotalTime>9</TotalTime>
  <ScaleCrop>false</ScaleCrop>
  <LinksUpToDate>false</LinksUpToDate>
  <CharactersWithSpaces>6973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2024-03-17T04:02:00Z</dcterms:created>
  <dc:creator>围荆而行</dc:creator>
  <cp:lastModifiedBy>白丽君</cp:lastModifiedBy>
  <dcterms:modified xsi:type="dcterms:W3CDTF">2025-03-04T04:36:42Z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AE6A955202DC44D294ADFEAA66F89957_13</vt:lpwstr>
  </property>
  <property fmtid="{D5CDD505-2E9C-101B-9397-08002B2CF9AE}" pid="4" name="KSOTemplateDocerSaveRecord">
    <vt:lpwstr>eyJoZGlkIjoiODBjYjFiYzY4YWI5YWM1YTMwM2Q0YjQwNTdkOWIyNTciLCJ1c2VySWQiOiI0MjE0Mzg5ODUifQ==</vt:lpwstr>
  </property>
</Properties>
</file>