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3CA61">
      <w:pPr>
        <w:ind w:left="0" w:leftChars="0" w:firstLine="0" w:firstLineChars="0"/>
        <w:jc w:val="left"/>
      </w:pPr>
      <w:r>
        <w:drawing>
          <wp:anchor distT="0" distB="0" distL="114300" distR="114300" simplePos="0" relativeHeight="251660288" behindDoc="0" locked="0" layoutInCell="1" allowOverlap="1">
            <wp:simplePos x="0" y="0"/>
            <wp:positionH relativeFrom="column">
              <wp:posOffset>1656715</wp:posOffset>
            </wp:positionH>
            <wp:positionV relativeFrom="paragraph">
              <wp:posOffset>100330</wp:posOffset>
            </wp:positionV>
            <wp:extent cx="1955800" cy="1789430"/>
            <wp:effectExtent l="0" t="0" r="10160" b="889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955800" cy="1789430"/>
                    </a:xfrm>
                    <a:prstGeom prst="rect">
                      <a:avLst/>
                    </a:prstGeom>
                    <a:noFill/>
                    <a:ln>
                      <a:noFill/>
                    </a:ln>
                  </pic:spPr>
                </pic:pic>
              </a:graphicData>
            </a:graphic>
          </wp:anchor>
        </w:drawing>
      </w:r>
    </w:p>
    <w:p w14:paraId="778CF4C3">
      <w:pPr>
        <w:ind w:left="0" w:leftChars="0" w:firstLine="0" w:firstLineChars="0"/>
        <w:jc w:val="left"/>
      </w:pPr>
    </w:p>
    <w:p w14:paraId="516B0B8F">
      <w:pPr>
        <w:ind w:left="0" w:leftChars="0" w:firstLine="0" w:firstLineChars="0"/>
        <w:jc w:val="left"/>
      </w:pPr>
    </w:p>
    <w:p w14:paraId="35503960">
      <w:pPr>
        <w:ind w:left="0" w:leftChars="0" w:firstLine="0" w:firstLineChars="0"/>
        <w:jc w:val="left"/>
      </w:pPr>
    </w:p>
    <w:p w14:paraId="05DC4CFA">
      <w:pPr>
        <w:ind w:left="0" w:leftChars="0" w:firstLine="0" w:firstLineChars="0"/>
        <w:jc w:val="left"/>
      </w:pPr>
    </w:p>
    <w:p w14:paraId="57460DF1">
      <w:pPr>
        <w:ind w:left="0" w:leftChars="0" w:firstLine="0" w:firstLineChars="0"/>
        <w:jc w:val="left"/>
      </w:pPr>
    </w:p>
    <w:p w14:paraId="6090B9E0">
      <w:pPr>
        <w:spacing w:beforeLines="50" w:afterLines="50" w:line="360" w:lineRule="auto"/>
        <w:ind w:firstLine="0" w:firstLineChars="0"/>
        <w:jc w:val="center"/>
        <w:outlineLvl w:val="0"/>
        <w:rPr>
          <w:rFonts w:hint="eastAsia" w:ascii="宋体" w:hAnsi="宋体" w:eastAsia="宋体" w:cs="宋体"/>
          <w:b/>
          <w:sz w:val="72"/>
          <w:szCs w:val="72"/>
        </w:rPr>
      </w:pPr>
      <w:r>
        <w:rPr>
          <w:rFonts w:hint="eastAsia" w:ascii="华文行楷" w:hAnsi="华文行楷" w:eastAsia="华文行楷" w:cs="华文行楷"/>
          <w:sz w:val="84"/>
          <w:szCs w:val="84"/>
          <w:lang w:val="en-US" w:eastAsia="zh-CN"/>
        </w:rPr>
        <w:t>浙江工商大学</w:t>
      </w:r>
    </w:p>
    <w:p w14:paraId="1676C4C6">
      <w:pPr>
        <w:spacing w:beforeLines="50" w:afterLines="50" w:line="360" w:lineRule="auto"/>
        <w:ind w:firstLine="0" w:firstLineChars="0"/>
        <w:jc w:val="center"/>
        <w:outlineLvl w:val="0"/>
        <w:rPr>
          <w:rFonts w:hint="eastAsia" w:ascii="宋体" w:hAnsi="宋体" w:eastAsia="宋体" w:cs="宋体"/>
          <w:b/>
          <w:sz w:val="72"/>
          <w:szCs w:val="72"/>
        </w:rPr>
      </w:pPr>
      <w:r>
        <w:rPr>
          <w:rFonts w:hint="eastAsia" w:ascii="宋体" w:hAnsi="宋体" w:eastAsia="宋体" w:cs="宋体"/>
          <w:b/>
          <w:sz w:val="72"/>
          <w:szCs w:val="72"/>
        </w:rPr>
        <w:t>本科</w:t>
      </w:r>
      <w:r>
        <w:rPr>
          <w:rFonts w:hint="eastAsia" w:ascii="宋体" w:hAnsi="宋体" w:eastAsia="宋体" w:cs="宋体"/>
          <w:b/>
          <w:sz w:val="72"/>
          <w:szCs w:val="72"/>
          <w:lang w:val="en-US" w:eastAsia="zh-CN"/>
        </w:rPr>
        <w:t>教育</w:t>
      </w:r>
      <w:r>
        <w:rPr>
          <w:rFonts w:hint="eastAsia" w:ascii="宋体" w:hAnsi="宋体" w:eastAsia="宋体" w:cs="宋体"/>
          <w:b/>
          <w:sz w:val="72"/>
          <w:szCs w:val="72"/>
        </w:rPr>
        <w:t>教学审核评估</w:t>
      </w:r>
    </w:p>
    <w:p w14:paraId="42B36D03">
      <w:pPr>
        <w:spacing w:beforeLines="50" w:afterLines="50" w:line="360" w:lineRule="auto"/>
        <w:ind w:firstLine="0" w:firstLineChars="0"/>
        <w:jc w:val="center"/>
        <w:outlineLvl w:val="0"/>
        <w:rPr>
          <w:b/>
          <w:sz w:val="72"/>
          <w:szCs w:val="72"/>
        </w:rPr>
      </w:pPr>
      <w:r>
        <w:rPr>
          <w:rFonts w:hint="eastAsia" w:ascii="宋体" w:hAnsi="宋体" w:eastAsia="宋体" w:cs="宋体"/>
          <w:b/>
          <w:sz w:val="72"/>
          <w:szCs w:val="72"/>
          <w:lang w:val="en-US" w:eastAsia="zh-CN"/>
        </w:rPr>
        <w:t>分项</w:t>
      </w:r>
      <w:r>
        <w:rPr>
          <w:rFonts w:hint="eastAsia" w:ascii="宋体" w:hAnsi="宋体" w:eastAsia="宋体" w:cs="宋体"/>
          <w:b/>
          <w:sz w:val="72"/>
          <w:szCs w:val="72"/>
        </w:rPr>
        <w:t>报告</w:t>
      </w:r>
    </w:p>
    <w:p w14:paraId="0FC79151">
      <w:pPr>
        <w:spacing w:beforeLines="50" w:afterLines="50" w:line="360" w:lineRule="auto"/>
        <w:ind w:left="0" w:leftChars="0" w:firstLine="0" w:firstLineChars="0"/>
        <w:jc w:val="center"/>
        <w:rPr>
          <w:sz w:val="84"/>
          <w:szCs w:val="84"/>
        </w:rPr>
      </w:pPr>
      <w:r>
        <w:rPr>
          <w:rFonts w:hint="eastAsia" w:ascii="Times New Roman" w:hAnsi="Times New Roman" w:eastAsia="楷体_GB2312" w:cs="黑体"/>
          <w:color w:val="000000"/>
          <w:kern w:val="0"/>
          <w:szCs w:val="32"/>
        </w:rPr>
        <w:t>（</w:t>
      </w:r>
      <w:r>
        <w:rPr>
          <w:rFonts w:hint="eastAsia" w:ascii="Times New Roman" w:hAnsi="Times New Roman" w:eastAsia="楷体_GB2312"/>
          <w:b/>
          <w:bCs/>
        </w:rPr>
        <w:t>第二类第一种</w:t>
      </w:r>
      <w:r>
        <w:rPr>
          <w:rFonts w:hint="eastAsia" w:ascii="Times New Roman" w:hAnsi="Times New Roman" w:eastAsia="楷体_GB2312" w:cs="黑体"/>
          <w:color w:val="000000"/>
          <w:kern w:val="0"/>
          <w:szCs w:val="32"/>
        </w:rPr>
        <w:t>）</w:t>
      </w:r>
    </w:p>
    <w:p w14:paraId="2B7B6BAE">
      <w:pPr>
        <w:spacing w:beforeLines="50" w:afterLines="50" w:line="360" w:lineRule="auto"/>
        <w:jc w:val="center"/>
        <w:rPr>
          <w:sz w:val="84"/>
          <w:szCs w:val="84"/>
        </w:rPr>
      </w:pPr>
    </w:p>
    <w:p w14:paraId="1B47A9E9">
      <w:pPr>
        <w:spacing w:beforeLines="50" w:afterLines="50" w:line="360" w:lineRule="auto"/>
        <w:jc w:val="both"/>
        <w:rPr>
          <w:rFonts w:hint="default" w:ascii="Times New Roman" w:hAnsi="Times New Roman" w:eastAsia="宋体"/>
          <w:b/>
          <w:color w:val="000000"/>
          <w:sz w:val="30"/>
          <w:szCs w:val="30"/>
          <w:u w:val="single"/>
          <w:lang w:val="en-US" w:eastAsia="zh-CN"/>
        </w:rPr>
      </w:pPr>
      <w:r>
        <w:rPr>
          <w:rFonts w:hint="eastAsia" w:ascii="Times New Roman" w:hAnsi="Times New Roman" w:eastAsia="宋体"/>
          <w:b/>
          <w:color w:val="000000"/>
          <w:sz w:val="30"/>
          <w:szCs w:val="30"/>
          <w:lang w:val="en-US" w:eastAsia="zh-CN"/>
        </w:rPr>
        <w:t>责任部门：</w:t>
      </w:r>
      <w:r>
        <w:rPr>
          <w:rFonts w:hint="eastAsia" w:ascii="Times New Roman" w:hAnsi="Times New Roman" w:eastAsia="宋体"/>
          <w:b/>
          <w:color w:val="000000"/>
          <w:sz w:val="30"/>
          <w:szCs w:val="30"/>
          <w:u w:val="single"/>
          <w:lang w:val="en-US" w:eastAsia="zh-CN"/>
        </w:rPr>
        <w:t xml:space="preserve">                 </w:t>
      </w:r>
    </w:p>
    <w:p w14:paraId="25E58CE3">
      <w:pPr>
        <w:spacing w:beforeLines="50" w:afterLines="50" w:line="360" w:lineRule="auto"/>
        <w:jc w:val="both"/>
        <w:rPr>
          <w:rFonts w:hint="default" w:ascii="Times New Roman" w:hAnsi="Times New Roman" w:eastAsia="宋体"/>
          <w:b/>
          <w:color w:val="000000"/>
          <w:szCs w:val="30"/>
          <w:u w:val="single"/>
          <w:lang w:val="en-US" w:eastAsia="zh-CN"/>
        </w:rPr>
      </w:pPr>
      <w:r>
        <w:rPr>
          <w:rFonts w:hint="eastAsia" w:ascii="Times New Roman" w:hAnsi="Times New Roman" w:eastAsia="宋体"/>
          <w:b/>
          <w:color w:val="000000"/>
          <w:sz w:val="30"/>
          <w:szCs w:val="30"/>
          <w:lang w:val="en-US" w:eastAsia="zh-CN"/>
        </w:rPr>
        <w:t>协作部门：</w:t>
      </w:r>
      <w:r>
        <w:rPr>
          <w:rFonts w:hint="eastAsia" w:ascii="Times New Roman" w:hAnsi="Times New Roman" w:eastAsia="宋体"/>
          <w:b/>
          <w:color w:val="000000"/>
          <w:sz w:val="30"/>
          <w:szCs w:val="30"/>
          <w:u w:val="single"/>
          <w:lang w:val="en-US" w:eastAsia="zh-CN"/>
        </w:rPr>
        <w:t xml:space="preserve">                 </w:t>
      </w:r>
    </w:p>
    <w:p w14:paraId="1FBEAEF7">
      <w:pPr>
        <w:spacing w:beforeLines="50" w:afterLines="50" w:line="360" w:lineRule="auto"/>
        <w:jc w:val="both"/>
        <w:rPr>
          <w:rFonts w:hint="eastAsia" w:ascii="Times New Roman" w:hAnsi="Times New Roman" w:eastAsia="宋体"/>
          <w:b/>
          <w:color w:val="000000"/>
          <w:sz w:val="30"/>
          <w:szCs w:val="30"/>
        </w:rPr>
      </w:pPr>
      <w:r>
        <w:rPr>
          <w:rFonts w:hint="eastAsia" w:ascii="Times New Roman" w:hAnsi="Times New Roman" w:eastAsia="宋体"/>
          <w:b/>
          <w:color w:val="000000"/>
          <w:sz w:val="30"/>
          <w:szCs w:val="30"/>
          <w:lang w:val="en-US" w:eastAsia="zh-CN"/>
        </w:rPr>
        <w:t>责任部门负责人</w:t>
      </w:r>
      <w:r>
        <w:rPr>
          <w:rFonts w:hint="eastAsia" w:ascii="Times New Roman" w:hAnsi="Times New Roman" w:eastAsia="宋体"/>
          <w:b/>
          <w:color w:val="000000"/>
          <w:sz w:val="30"/>
          <w:szCs w:val="30"/>
        </w:rPr>
        <w:t>（签名、公章）</w:t>
      </w:r>
      <w:r>
        <w:rPr>
          <w:rFonts w:ascii="Times New Roman" w:hAnsi="Times New Roman" w:eastAsia="宋体"/>
          <w:b/>
          <w:color w:val="000000"/>
          <w:sz w:val="30"/>
          <w:szCs w:val="30"/>
        </w:rPr>
        <w:t>：</w:t>
      </w:r>
    </w:p>
    <w:p w14:paraId="5B89F080">
      <w:pPr>
        <w:spacing w:beforeLines="50" w:afterLines="50" w:line="360" w:lineRule="auto"/>
        <w:ind w:left="0" w:leftChars="0" w:firstLine="0" w:firstLineChars="0"/>
        <w:jc w:val="center"/>
        <w:rPr>
          <w:rFonts w:ascii="Times New Roman" w:hAnsi="Times New Roman" w:cs="Times New Roman"/>
          <w:b/>
          <w:sz w:val="44"/>
          <w:szCs w:val="44"/>
        </w:rPr>
      </w:pPr>
    </w:p>
    <w:p w14:paraId="133362CA">
      <w:pPr>
        <w:spacing w:beforeLines="50" w:afterLines="50" w:line="360" w:lineRule="auto"/>
        <w:ind w:left="0" w:leftChars="0" w:firstLine="0" w:firstLineChars="0"/>
        <w:jc w:val="center"/>
        <w:rPr>
          <w:rFonts w:ascii="Times New Roman" w:cs="Times New Roman"/>
          <w:b/>
          <w:sz w:val="44"/>
          <w:szCs w:val="44"/>
        </w:rPr>
      </w:pPr>
      <w:r>
        <w:rPr>
          <w:rFonts w:ascii="Times New Roman" w:hAnsi="Times New Roman" w:cs="Times New Roman"/>
          <w:b/>
          <w:sz w:val="44"/>
          <w:szCs w:val="44"/>
        </w:rPr>
        <w:t>20</w:t>
      </w:r>
      <w:r>
        <w:rPr>
          <w:rFonts w:hint="eastAsia" w:ascii="Times New Roman" w:hAnsi="Times New Roman" w:cs="Times New Roman"/>
          <w:b/>
          <w:sz w:val="44"/>
          <w:szCs w:val="44"/>
          <w:lang w:val="en-US" w:eastAsia="zh-CN"/>
        </w:rPr>
        <w:t>25</w:t>
      </w:r>
      <w:r>
        <w:rPr>
          <w:rFonts w:ascii="Times New Roman" w:cs="Times New Roman"/>
          <w:b/>
          <w:sz w:val="44"/>
          <w:szCs w:val="44"/>
        </w:rPr>
        <w:t>年</w:t>
      </w:r>
      <w:r>
        <w:rPr>
          <w:rFonts w:hint="eastAsia" w:ascii="Times New Roman" w:cs="Times New Roman"/>
          <w:b/>
          <w:sz w:val="44"/>
          <w:szCs w:val="44"/>
          <w:lang w:val="en-US" w:eastAsia="zh-CN"/>
        </w:rPr>
        <w:t xml:space="preserve"> </w:t>
      </w:r>
      <w:r>
        <w:rPr>
          <w:rFonts w:ascii="Times New Roman" w:cs="Times New Roman"/>
          <w:b/>
          <w:sz w:val="44"/>
          <w:szCs w:val="44"/>
        </w:rPr>
        <w:t>月</w:t>
      </w:r>
    </w:p>
    <w:p w14:paraId="772B319E">
      <w:pPr>
        <w:spacing w:beforeLines="50" w:afterLines="50" w:line="360" w:lineRule="auto"/>
        <w:ind w:left="0" w:leftChars="0" w:firstLine="0" w:firstLineChars="0"/>
        <w:jc w:val="center"/>
        <w:rPr>
          <w:rFonts w:ascii="Times New Roman" w:cs="Times New Roman"/>
          <w:b/>
          <w:sz w:val="44"/>
          <w:szCs w:val="44"/>
        </w:rPr>
      </w:pPr>
    </w:p>
    <w:p w14:paraId="214995E2">
      <w:pPr>
        <w:spacing w:beforeLines="0" w:afterLines="0" w:line="36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分项报告撰写</w:t>
      </w:r>
      <w:bookmarkStart w:id="0" w:name="_GoBack"/>
      <w:bookmarkEnd w:id="0"/>
      <w:r>
        <w:rPr>
          <w:rFonts w:hint="eastAsia" w:ascii="宋体" w:hAnsi="宋体" w:eastAsia="宋体" w:cs="宋体"/>
          <w:b/>
          <w:color w:val="auto"/>
          <w:sz w:val="32"/>
          <w:szCs w:val="32"/>
          <w:lang w:val="en-US" w:eastAsia="zh-CN"/>
        </w:rPr>
        <w:t>示例</w:t>
      </w:r>
    </w:p>
    <w:p w14:paraId="152850F1">
      <w:pPr>
        <w:spacing w:beforeLines="0" w:afterLines="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2.培养过程</w:t>
      </w:r>
    </w:p>
    <w:p w14:paraId="583F2270">
      <w:pPr>
        <w:spacing w:beforeLines="0" w:afterLines="0" w:line="360" w:lineRule="auto"/>
        <w:jc w:val="left"/>
        <w:rPr>
          <w:rFonts w:hint="eastAsia" w:ascii="宋体" w:hAnsi="宋体" w:eastAsia="宋体" w:cs="宋体"/>
          <w:b/>
          <w:bCs/>
          <w:color w:val="FF0000"/>
          <w:sz w:val="24"/>
          <w:szCs w:val="24"/>
          <w:lang w:eastAsia="zh-CN"/>
        </w:rPr>
      </w:pPr>
      <w:r>
        <w:rPr>
          <w:rFonts w:hint="eastAsia" w:ascii="宋体" w:hAnsi="宋体" w:eastAsia="宋体" w:cs="宋体"/>
          <w:b/>
          <w:bCs/>
          <w:color w:val="000000"/>
          <w:sz w:val="24"/>
          <w:szCs w:val="24"/>
        </w:rPr>
        <w:t>2.1 培养方案</w:t>
      </w:r>
    </w:p>
    <w:p w14:paraId="727426A4">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2.1.1 科学制定培养</w:t>
      </w:r>
      <w:r>
        <w:rPr>
          <w:rFonts w:hint="eastAsia" w:ascii="宋体" w:hAnsi="宋体" w:eastAsia="宋体" w:cs="宋体"/>
          <w:b/>
          <w:bCs/>
          <w:color w:val="000000" w:themeColor="text1"/>
          <w:sz w:val="24"/>
          <w:szCs w:val="24"/>
          <w:lang w:val="en-US" w:eastAsia="zh-CN"/>
          <w14:textFill>
            <w14:solidFill>
              <w14:schemeClr w14:val="tx1"/>
            </w14:solidFill>
          </w14:textFill>
        </w:rPr>
        <w:t>方案</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培养社会经济发展急需人才</w:t>
      </w:r>
    </w:p>
    <w:p w14:paraId="3821FB30">
      <w:pPr>
        <w:spacing w:beforeLines="0" w:afterLines="0" w:line="360" w:lineRule="auto"/>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重点阐述：</w:t>
      </w:r>
    </w:p>
    <w:p w14:paraId="7B997987">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支撑材料目录：</w:t>
      </w:r>
    </w:p>
    <w:p w14:paraId="00FE5123">
      <w:pPr>
        <w:spacing w:beforeLines="0" w:afterLines="0"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坚持产出导向设计</w:t>
      </w:r>
      <w:r>
        <w:rPr>
          <w:rFonts w:hint="eastAsia" w:ascii="宋体" w:hAnsi="宋体" w:eastAsia="宋体" w:cs="宋体"/>
          <w:b w:val="0"/>
          <w:bCs w:val="0"/>
          <w:color w:val="000000" w:themeColor="text1"/>
          <w:sz w:val="24"/>
          <w:szCs w:val="24"/>
          <w:lang w:val="en-US" w:eastAsia="zh-CN"/>
          <w14:textFill>
            <w14:solidFill>
              <w14:schemeClr w14:val="tx1"/>
            </w14:solidFill>
          </w14:textFill>
        </w:rPr>
        <w:t>培养方案，强化培养目标-毕业要求-课程体系协同性</w:t>
      </w:r>
    </w:p>
    <w:p w14:paraId="64EC11A6">
      <w:pPr>
        <w:spacing w:beforeLines="0" w:afterLines="0"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重点阐述：</w:t>
      </w:r>
    </w:p>
    <w:p w14:paraId="1F06A5AB">
      <w:pPr>
        <w:spacing w:beforeLines="0" w:afterLines="0"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支撑材料目录：</w:t>
      </w:r>
    </w:p>
    <w:p w14:paraId="28D673CF">
      <w:pPr>
        <w:spacing w:beforeLines="0" w:afterLines="0"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2.1.3 </w:t>
      </w:r>
      <w:r>
        <w:rPr>
          <w:rFonts w:hint="eastAsia" w:ascii="宋体" w:hAnsi="宋体" w:eastAsia="宋体" w:cs="宋体"/>
          <w:b w:val="0"/>
          <w:bCs w:val="0"/>
          <w:color w:val="000000" w:themeColor="text1"/>
          <w:sz w:val="24"/>
          <w:szCs w:val="24"/>
          <w:lang w:val="en-US" w:eastAsia="zh-CN"/>
          <w14:textFill>
            <w14:solidFill>
              <w14:schemeClr w14:val="tx1"/>
            </w14:solidFill>
          </w14:textFill>
        </w:rPr>
        <w:t>夯实学生理论基础，着力培养学生创新能力</w:t>
      </w:r>
    </w:p>
    <w:p w14:paraId="78813D73">
      <w:pPr>
        <w:spacing w:beforeLines="0" w:afterLines="0"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重点阐述：</w:t>
      </w:r>
    </w:p>
    <w:p w14:paraId="469C0231">
      <w:pPr>
        <w:spacing w:beforeLines="0" w:afterLines="0"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支撑材料目录：</w:t>
      </w:r>
    </w:p>
    <w:p w14:paraId="730D2209">
      <w:pPr>
        <w:spacing w:beforeLines="0" w:afterLines="0" w:line="360" w:lineRule="auto"/>
        <w:jc w:val="left"/>
        <w:rPr>
          <w:rFonts w:hint="eastAsia" w:ascii="宋体" w:hAnsi="宋体" w:eastAsia="宋体" w:cs="宋体"/>
          <w:b/>
          <w:bCs/>
          <w:color w:val="FF0000"/>
          <w:sz w:val="24"/>
          <w:szCs w:val="24"/>
          <w:lang w:eastAsia="zh-CN"/>
        </w:rPr>
      </w:pPr>
      <w:r>
        <w:rPr>
          <w:rFonts w:hint="eastAsia" w:ascii="宋体" w:hAnsi="宋体" w:eastAsia="宋体" w:cs="宋体"/>
          <w:color w:val="000000"/>
          <w:sz w:val="24"/>
          <w:szCs w:val="24"/>
        </w:rPr>
        <w:t>2.2 专业建设</w:t>
      </w:r>
    </w:p>
    <w:p w14:paraId="73A284ED">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2.2.1 </w:t>
      </w:r>
      <w:r>
        <w:rPr>
          <w:rFonts w:hint="eastAsia" w:ascii="宋体" w:hAnsi="宋体" w:eastAsia="宋体" w:cs="宋体"/>
          <w:color w:val="000000" w:themeColor="text1"/>
          <w:sz w:val="24"/>
          <w:szCs w:val="24"/>
          <w:lang w:val="en-US" w:eastAsia="zh-CN"/>
          <w14:textFill>
            <w14:solidFill>
              <w14:schemeClr w14:val="tx1"/>
            </w14:solidFill>
          </w14:textFill>
        </w:rPr>
        <w:t>优化专业设置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服务国家战略和地方经济社会发展</w:t>
      </w:r>
    </w:p>
    <w:p w14:paraId="34F54463">
      <w:pPr>
        <w:spacing w:beforeLines="0" w:afterLines="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2.2.2 </w:t>
      </w:r>
      <w:r>
        <w:rPr>
          <w:rFonts w:hint="eastAsia" w:ascii="宋体" w:hAnsi="宋体" w:eastAsia="宋体" w:cs="宋体"/>
          <w:color w:val="000000" w:themeColor="text1"/>
          <w:sz w:val="24"/>
          <w:szCs w:val="24"/>
          <w:lang w:val="en-US" w:eastAsia="zh-CN"/>
          <w14:textFill>
            <w14:solidFill>
              <w14:schemeClr w14:val="tx1"/>
            </w14:solidFill>
          </w14:textFill>
        </w:rPr>
        <w:t>加强顶层设计，</w:t>
      </w:r>
      <w:r>
        <w:rPr>
          <w:rFonts w:hint="eastAsia" w:ascii="宋体" w:hAnsi="宋体" w:eastAsia="宋体" w:cs="宋体"/>
          <w:color w:val="000000" w:themeColor="text1"/>
          <w:sz w:val="24"/>
          <w:szCs w:val="24"/>
          <w14:textFill>
            <w14:solidFill>
              <w14:schemeClr w14:val="tx1"/>
            </w14:solidFill>
          </w14:textFill>
        </w:rPr>
        <w:t>完善专业</w:t>
      </w:r>
      <w:r>
        <w:rPr>
          <w:rFonts w:hint="eastAsia" w:ascii="宋体" w:hAnsi="宋体" w:eastAsia="宋体" w:cs="宋体"/>
          <w:color w:val="000000" w:themeColor="text1"/>
          <w:sz w:val="24"/>
          <w:szCs w:val="24"/>
          <w:lang w:val="en-US" w:eastAsia="zh-CN"/>
          <w14:textFill>
            <w14:solidFill>
              <w14:schemeClr w14:val="tx1"/>
            </w14:solidFill>
          </w14:textFill>
        </w:rPr>
        <w:t>设置与调整机制</w:t>
      </w:r>
    </w:p>
    <w:p w14:paraId="3BC22DC7">
      <w:pPr>
        <w:spacing w:beforeLines="0" w:afterLines="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2.2.3 </w:t>
      </w:r>
      <w:r>
        <w:rPr>
          <w:rFonts w:hint="eastAsia" w:ascii="宋体" w:hAnsi="宋体" w:eastAsia="宋体" w:cs="宋体"/>
          <w:color w:val="000000" w:themeColor="text1"/>
          <w:sz w:val="24"/>
          <w:szCs w:val="24"/>
          <w:lang w:val="en-US" w:eastAsia="zh-CN"/>
          <w14:textFill>
            <w14:solidFill>
              <w14:schemeClr w14:val="tx1"/>
            </w14:solidFill>
          </w14:textFill>
        </w:rPr>
        <w:t>推动人才培养模式改革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助力创新型人才</w:t>
      </w:r>
      <w:r>
        <w:rPr>
          <w:rFonts w:hint="eastAsia" w:ascii="宋体" w:hAnsi="宋体" w:eastAsia="宋体" w:cs="宋体"/>
          <w:color w:val="000000" w:themeColor="text1"/>
          <w:sz w:val="24"/>
          <w:szCs w:val="24"/>
          <w14:textFill>
            <w14:solidFill>
              <w14:schemeClr w14:val="tx1"/>
            </w14:solidFill>
          </w14:textFill>
        </w:rPr>
        <w:t>培养</w:t>
      </w:r>
    </w:p>
    <w:p w14:paraId="6C9A5788">
      <w:pPr>
        <w:spacing w:beforeLines="0" w:afterLines="0" w:line="360" w:lineRule="auto"/>
        <w:jc w:val="left"/>
        <w:rPr>
          <w:rFonts w:hint="eastAsia" w:ascii="宋体" w:hAnsi="宋体" w:eastAsia="宋体" w:cs="宋体"/>
          <w:b/>
          <w:bCs/>
          <w:color w:val="FF0000"/>
          <w:sz w:val="24"/>
          <w:szCs w:val="24"/>
          <w:lang w:eastAsia="zh-CN"/>
        </w:rPr>
      </w:pPr>
      <w:r>
        <w:rPr>
          <w:rFonts w:hint="eastAsia" w:ascii="宋体" w:hAnsi="宋体" w:eastAsia="宋体" w:cs="宋体"/>
          <w:color w:val="000000"/>
          <w:sz w:val="24"/>
          <w:szCs w:val="24"/>
        </w:rPr>
        <w:t>2.3 实践教学</w:t>
      </w:r>
    </w:p>
    <w:p w14:paraId="0D26F7AB">
      <w:pPr>
        <w:spacing w:beforeLines="0" w:afterLines="0" w:line="360" w:lineRule="auto"/>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2.3.1 </w:t>
      </w:r>
      <w:r>
        <w:rPr>
          <w:rFonts w:hint="eastAsia" w:ascii="宋体" w:hAnsi="宋体" w:eastAsia="宋体" w:cs="宋体"/>
          <w:b w:val="0"/>
          <w:bCs w:val="0"/>
          <w:color w:val="000000" w:themeColor="text1"/>
          <w:sz w:val="24"/>
          <w:szCs w:val="24"/>
          <w:lang w:eastAsia="zh-CN"/>
          <w14:textFill>
            <w14:solidFill>
              <w14:schemeClr w14:val="tx1"/>
            </w14:solidFill>
          </w14:textFill>
        </w:rPr>
        <w:t>构建智慧化实践教学体系，提升学生创新实践能力</w:t>
      </w:r>
    </w:p>
    <w:p w14:paraId="47D1CC83">
      <w:pPr>
        <w:spacing w:beforeLines="0" w:afterLines="0" w:line="360" w:lineRule="auto"/>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2.3.2 </w:t>
      </w:r>
      <w:r>
        <w:rPr>
          <w:rFonts w:hint="eastAsia" w:ascii="宋体" w:hAnsi="宋体" w:eastAsia="宋体" w:cs="宋体"/>
          <w:b w:val="0"/>
          <w:bCs w:val="0"/>
          <w:color w:val="000000" w:themeColor="text1"/>
          <w:sz w:val="24"/>
          <w:szCs w:val="24"/>
          <w:lang w:eastAsia="zh-CN"/>
          <w14:textFill>
            <w14:solidFill>
              <w14:schemeClr w14:val="tx1"/>
            </w14:solidFill>
          </w14:textFill>
        </w:rPr>
        <w:t>建设高水平科产教育人机制，政企校协同打造实战化实践平台</w:t>
      </w:r>
    </w:p>
    <w:p w14:paraId="1EBDC439">
      <w:pPr>
        <w:spacing w:beforeLines="0" w:afterLines="0" w:line="360" w:lineRule="auto"/>
        <w:jc w:val="left"/>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2.3.3 </w:t>
      </w:r>
      <w:r>
        <w:rPr>
          <w:rFonts w:hint="eastAsia" w:ascii="宋体" w:hAnsi="宋体" w:eastAsia="宋体" w:cs="宋体"/>
          <w:b w:val="0"/>
          <w:bCs w:val="0"/>
          <w:color w:val="000000" w:themeColor="text1"/>
          <w:sz w:val="24"/>
          <w:szCs w:val="24"/>
          <w:lang w:eastAsia="zh-CN"/>
          <w14:textFill>
            <w14:solidFill>
              <w14:schemeClr w14:val="tx1"/>
            </w14:solidFill>
          </w14:textFill>
        </w:rPr>
        <w:t>健全实践成果转化机制，守牢毕业论文质量底线</w:t>
      </w:r>
    </w:p>
    <w:p w14:paraId="52479E9B">
      <w:pPr>
        <w:spacing w:beforeLines="0" w:afterLines="0" w:line="360" w:lineRule="auto"/>
        <w:jc w:val="left"/>
        <w:rPr>
          <w:rFonts w:hint="eastAsia" w:ascii="宋体" w:hAnsi="宋体" w:eastAsia="宋体" w:cs="宋体"/>
          <w:b/>
          <w:bCs/>
          <w:color w:val="FF0000"/>
          <w:sz w:val="24"/>
          <w:szCs w:val="24"/>
          <w:lang w:eastAsia="zh-CN"/>
        </w:rPr>
      </w:pPr>
      <w:r>
        <w:rPr>
          <w:rFonts w:hint="eastAsia" w:ascii="宋体" w:hAnsi="宋体" w:eastAsia="宋体" w:cs="宋体"/>
          <w:color w:val="000000"/>
          <w:sz w:val="24"/>
          <w:szCs w:val="24"/>
        </w:rPr>
        <w:t>2.4 课堂教学</w:t>
      </w:r>
    </w:p>
    <w:p w14:paraId="2FFDB11F">
      <w:pPr>
        <w:spacing w:beforeLines="0" w:afterLines="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2.4.1 坚持以学生为中心，推动课堂教学转型改革评价</w:t>
      </w:r>
    </w:p>
    <w:p w14:paraId="39F0189B">
      <w:pPr>
        <w:spacing w:beforeLines="0" w:afterLines="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2.4.2 构建智慧教育环境，打造数字化教育教学新形态</w:t>
      </w:r>
    </w:p>
    <w:p w14:paraId="4F0D8582">
      <w:pPr>
        <w:spacing w:beforeLines="0" w:afterLines="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2.4.3 健全教材管理机制，确保马工程重点教材全覆盖</w:t>
      </w:r>
    </w:p>
    <w:p w14:paraId="023D0613">
      <w:pPr>
        <w:spacing w:beforeLines="0" w:afterLines="0" w:line="360" w:lineRule="auto"/>
        <w:jc w:val="left"/>
        <w:rPr>
          <w:rFonts w:hint="eastAsia" w:ascii="宋体" w:hAnsi="宋体" w:eastAsia="宋体" w:cs="宋体"/>
          <w:b/>
          <w:bCs/>
          <w:color w:val="FF0000"/>
          <w:sz w:val="24"/>
          <w:szCs w:val="24"/>
          <w:lang w:eastAsia="zh-CN"/>
        </w:rPr>
      </w:pPr>
      <w:r>
        <w:rPr>
          <w:rFonts w:hint="eastAsia" w:ascii="宋体" w:hAnsi="宋体" w:eastAsia="宋体" w:cs="宋体"/>
          <w:color w:val="000000"/>
          <w:sz w:val="24"/>
          <w:szCs w:val="24"/>
        </w:rPr>
        <w:t>K2.5 卓越培养</w:t>
      </w:r>
    </w:p>
    <w:p w14:paraId="2B531799">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K2.5.1 </w:t>
      </w:r>
      <w:r>
        <w:rPr>
          <w:rFonts w:hint="eastAsia" w:ascii="宋体" w:hAnsi="宋体" w:eastAsia="宋体" w:cs="宋体"/>
          <w:color w:val="000000" w:themeColor="text1"/>
          <w:sz w:val="24"/>
          <w:szCs w:val="24"/>
          <w:lang w:val="en-US" w:eastAsia="zh-CN"/>
          <w14:textFill>
            <w14:solidFill>
              <w14:schemeClr w14:val="tx1"/>
            </w14:solidFill>
          </w14:textFill>
        </w:rPr>
        <w:t>坚持交叉复合</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推进拔尖创新型人才培养</w:t>
      </w:r>
    </w:p>
    <w:p w14:paraId="54FC25AF">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K2.5.2 </w:t>
      </w:r>
      <w:r>
        <w:rPr>
          <w:rFonts w:hint="eastAsia" w:ascii="宋体" w:hAnsi="宋体" w:eastAsia="宋体" w:cs="宋体"/>
          <w:color w:val="000000" w:themeColor="text1"/>
          <w:sz w:val="24"/>
          <w:szCs w:val="24"/>
          <w:lang w:val="en-US" w:eastAsia="zh-CN"/>
          <w14:textFill>
            <w14:solidFill>
              <w14:schemeClr w14:val="tx1"/>
            </w14:solidFill>
          </w14:textFill>
        </w:rPr>
        <w:t>加强课程体系整理设计，优化课程结构</w:t>
      </w:r>
    </w:p>
    <w:p w14:paraId="1B59DA43">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K2.5.3 扎实推进</w:t>
      </w:r>
      <w:r>
        <w:rPr>
          <w:rFonts w:hint="eastAsia" w:ascii="宋体" w:hAnsi="宋体" w:eastAsia="宋体" w:cs="宋体"/>
          <w:color w:val="000000" w:themeColor="text1"/>
          <w:sz w:val="24"/>
          <w:szCs w:val="24"/>
          <w:lang w:val="en-US" w:eastAsia="zh-CN"/>
          <w14:textFill>
            <w14:solidFill>
              <w14:schemeClr w14:val="tx1"/>
            </w14:solidFill>
          </w14:textFill>
        </w:rPr>
        <w:t>新文科和新工科</w:t>
      </w:r>
      <w:r>
        <w:rPr>
          <w:rFonts w:hint="eastAsia" w:ascii="宋体" w:hAnsi="宋体" w:eastAsia="宋体" w:cs="宋体"/>
          <w:color w:val="000000" w:themeColor="text1"/>
          <w:sz w:val="24"/>
          <w:szCs w:val="24"/>
          <w14:textFill>
            <w14:solidFill>
              <w14:schemeClr w14:val="tx1"/>
            </w14:solidFill>
          </w14:textFill>
        </w:rPr>
        <w:t>建设，</w:t>
      </w:r>
      <w:r>
        <w:rPr>
          <w:rFonts w:hint="eastAsia" w:ascii="宋体" w:hAnsi="宋体" w:eastAsia="宋体" w:cs="宋体"/>
          <w:color w:val="000000" w:themeColor="text1"/>
          <w:sz w:val="24"/>
          <w:szCs w:val="24"/>
          <w:lang w:val="en-US" w:eastAsia="zh-CN"/>
          <w14:textFill>
            <w14:solidFill>
              <w14:schemeClr w14:val="tx1"/>
            </w14:solidFill>
          </w14:textFill>
        </w:rPr>
        <w:t>培育高水平教研教学成果</w:t>
      </w:r>
    </w:p>
    <w:p w14:paraId="415E91AD">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K2.5.4 </w:t>
      </w:r>
      <w:r>
        <w:rPr>
          <w:rFonts w:hint="eastAsia" w:ascii="宋体" w:hAnsi="宋体" w:eastAsia="宋体" w:cs="宋体"/>
          <w:color w:val="000000" w:themeColor="text1"/>
          <w:sz w:val="24"/>
          <w:szCs w:val="24"/>
          <w:lang w:val="en-US" w:eastAsia="zh-CN"/>
          <w14:textFill>
            <w14:solidFill>
              <w14:schemeClr w14:val="tx1"/>
            </w14:solidFill>
          </w14:textFill>
        </w:rPr>
        <w:t>优化专业结构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全面加强一流专业建设</w:t>
      </w:r>
    </w:p>
    <w:p w14:paraId="02B7165B">
      <w:pPr>
        <w:spacing w:beforeLines="0" w:afterLines="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K2.5.5 </w:t>
      </w:r>
      <w:r>
        <w:rPr>
          <w:rFonts w:hint="eastAsia" w:ascii="宋体" w:hAnsi="宋体" w:eastAsia="宋体" w:cs="宋体"/>
          <w:color w:val="000000" w:themeColor="text1"/>
          <w:sz w:val="24"/>
          <w:szCs w:val="24"/>
          <w:lang w:val="en-US" w:eastAsia="zh-CN"/>
          <w14:textFill>
            <w14:solidFill>
              <w14:schemeClr w14:val="tx1"/>
            </w14:solidFill>
          </w14:textFill>
        </w:rPr>
        <w:t>提升课程质量，全面加强一流课程建设</w:t>
      </w:r>
    </w:p>
    <w:p w14:paraId="6BD56A7C">
      <w:pPr>
        <w:spacing w:beforeLines="0" w:afterLines="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K2.5.6 </w:t>
      </w:r>
      <w:r>
        <w:rPr>
          <w:rFonts w:hint="eastAsia" w:ascii="宋体" w:hAnsi="宋体" w:eastAsia="宋体" w:cs="宋体"/>
          <w:color w:val="000000" w:themeColor="text1"/>
          <w:sz w:val="24"/>
          <w:szCs w:val="24"/>
          <w:lang w:val="en-US" w:eastAsia="zh-CN"/>
          <w14:textFill>
            <w14:solidFill>
              <w14:schemeClr w14:val="tx1"/>
            </w14:solidFill>
          </w14:textFill>
        </w:rPr>
        <w:t>强化思想引领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全面加强优质和特色教材建设</w:t>
      </w:r>
    </w:p>
    <w:p w14:paraId="026B3420">
      <w:pPr>
        <w:spacing w:beforeLines="0" w:afterLines="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2.6 创新创业教育</w:t>
      </w:r>
    </w:p>
    <w:p w14:paraId="2B3991E0">
      <w:pPr>
        <w:spacing w:beforeLines="0" w:afterLines="0"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2.6.1 三维协同平台建设，打造双创教育工作体系</w:t>
      </w:r>
    </w:p>
    <w:p w14:paraId="4C4BADCC">
      <w:pPr>
        <w:spacing w:beforeLines="0" w:afterLines="0"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2.6.2 三层级五融合举措，构建双创教育生态系统</w:t>
      </w:r>
    </w:p>
    <w:p w14:paraId="4F05300D">
      <w:pPr>
        <w:spacing w:beforeLines="0" w:afterLines="0"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2.6.3 建配套强帮扶政策，推动双创成果落地转化</w:t>
      </w:r>
    </w:p>
    <w:p w14:paraId="4037C294">
      <w:pPr>
        <w:spacing w:beforeLines="0" w:afterLines="0" w:line="360" w:lineRule="auto"/>
        <w:jc w:val="left"/>
        <w:rPr>
          <w:rFonts w:hint="eastAsia" w:ascii="宋体" w:hAnsi="宋体" w:eastAsia="宋体" w:cs="宋体"/>
          <w:b/>
          <w:bCs/>
          <w:color w:val="FF0000"/>
          <w:sz w:val="24"/>
          <w:szCs w:val="24"/>
          <w:lang w:eastAsia="zh-CN"/>
        </w:rPr>
      </w:pPr>
      <w:r>
        <w:rPr>
          <w:rFonts w:hint="eastAsia" w:ascii="宋体" w:hAnsi="宋体" w:eastAsia="宋体" w:cs="宋体"/>
          <w:color w:val="000000"/>
          <w:sz w:val="24"/>
          <w:szCs w:val="24"/>
        </w:rPr>
        <w:t>2.7 存在的问题、原因分析及下一步整改措施</w:t>
      </w:r>
    </w:p>
    <w:p w14:paraId="4468CFE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2.7.1 问题及原因分析</w:t>
      </w:r>
    </w:p>
    <w:p w14:paraId="4B3DC038">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学校以立德树人为根本，在人才培养方面取得了一些成果，但是人工智能时代创新型人才培养质量还有待提升。</w:t>
      </w:r>
    </w:p>
    <w:p w14:paraId="5B41C043">
      <w:pPr>
        <w:spacing w:beforeLines="0" w:afterLines="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2.7.2 下一步整改举措</w:t>
      </w:r>
    </w:p>
    <w:p w14:paraId="73C5E2B6">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学校将优化人才培养方案，推进“专业+AI”培养体系建设，探索“市场营销+人工智能”双学士学位项目、数字经济、数字金融、跨境电商与商务智能、智能财务、数字文旅、数字人文、数字治理等“人工智能+”专业。</w:t>
      </w:r>
    </w:p>
    <w:p w14:paraId="25FD9423">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围绕学校办学特色，在“公共基础课-通识教育-专业教育课程”中打造本研贯通的“公共基础（Basic）-应用场景（Application）-进阶技术（Technology）-融合创新（X）”（BAT-X）人工智能教育课程群，系统提升学生了解人工智能、使用人工智能、创新人工智能和恪守人工智能伦理的能力。</w:t>
      </w:r>
    </w:p>
    <w:p w14:paraId="41F6D299">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依托国家高等教育智慧教育等平台，强化知识图谱、能力图谱和问题图谱建设，打造一批高水平“AI+”智慧课程和数字教材。依托知识图谱、人工智能算法和大数据分析等技术，推出“AI+教与学”系列应用，打造以学生成长为中心的个性化学习生态系统。</w:t>
      </w:r>
    </w:p>
    <w:p w14:paraId="461DD784">
      <w:pPr>
        <w:spacing w:beforeLines="0" w:afterLines="0" w:line="360" w:lineRule="auto"/>
        <w:ind w:left="0" w:leftChars="0" w:firstLine="0" w:firstLineChars="0"/>
        <w:jc w:val="left"/>
        <w:rPr>
          <w:rFonts w:hint="eastAsia" w:ascii="宋体" w:hAnsi="宋体" w:eastAsia="宋体" w:cs="宋体"/>
          <w:color w:val="000000"/>
          <w:sz w:val="24"/>
          <w:szCs w:val="24"/>
        </w:rPr>
      </w:pPr>
    </w:p>
    <w:p w14:paraId="57C2CB8D">
      <w:pPr>
        <w:spacing w:beforeLines="0" w:afterLines="0" w:line="360" w:lineRule="auto"/>
        <w:ind w:left="0" w:leftChars="0" w:firstLine="0" w:firstLineChars="0"/>
        <w:jc w:val="left"/>
        <w:rPr>
          <w:rFonts w:hint="eastAsia" w:ascii="宋体" w:hAnsi="宋体" w:eastAsia="宋体" w:cs="宋体"/>
          <w:color w:val="000000"/>
          <w:sz w:val="24"/>
          <w:szCs w:val="24"/>
        </w:rPr>
      </w:pPr>
    </w:p>
    <w:p w14:paraId="3AF9F0AB">
      <w:pPr>
        <w:spacing w:beforeLines="0" w:afterLines="0" w:line="360" w:lineRule="auto"/>
        <w:ind w:left="0" w:leftChars="0" w:firstLine="0" w:firstLineChars="0"/>
        <w:jc w:val="left"/>
        <w:rPr>
          <w:rFonts w:hint="eastAsia" w:ascii="宋体" w:hAnsi="宋体" w:eastAsia="宋体" w:cs="宋体"/>
          <w:color w:val="000000"/>
          <w:sz w:val="24"/>
          <w:szCs w:val="24"/>
        </w:rPr>
      </w:pPr>
    </w:p>
    <w:p w14:paraId="45B3BCC5">
      <w:pPr>
        <w:spacing w:beforeLines="0" w:afterLines="0" w:line="360" w:lineRule="auto"/>
        <w:ind w:left="0" w:leftChars="0" w:firstLine="0" w:firstLineChars="0"/>
        <w:jc w:val="left"/>
        <w:rPr>
          <w:rFonts w:hint="eastAsia" w:ascii="宋体" w:hAnsi="宋体" w:eastAsia="宋体" w:cs="宋体"/>
          <w:color w:val="000000"/>
          <w:sz w:val="24"/>
          <w:szCs w:val="24"/>
        </w:rPr>
      </w:pPr>
    </w:p>
    <w:p w14:paraId="2E2F4D58">
      <w:pPr>
        <w:spacing w:beforeLines="0" w:afterLines="0" w:line="360" w:lineRule="auto"/>
        <w:ind w:left="0" w:leftChars="0" w:firstLine="0" w:firstLineChars="0"/>
        <w:jc w:val="left"/>
        <w:rPr>
          <w:rFonts w:hint="eastAsia" w:ascii="宋体" w:hAnsi="宋体" w:eastAsia="宋体" w:cs="宋体"/>
          <w:color w:val="000000"/>
          <w:sz w:val="24"/>
          <w:szCs w:val="24"/>
        </w:rPr>
      </w:pPr>
    </w:p>
    <w:p w14:paraId="35F1AD75">
      <w:pPr>
        <w:spacing w:beforeLines="0" w:afterLines="0" w:line="360" w:lineRule="auto"/>
        <w:ind w:left="0" w:leftChars="0" w:firstLine="0" w:firstLineChars="0"/>
        <w:jc w:val="left"/>
        <w:rPr>
          <w:rFonts w:hint="eastAsia" w:ascii="宋体" w:hAnsi="宋体" w:eastAsia="宋体" w:cs="宋体"/>
          <w:color w:val="000000"/>
          <w:sz w:val="24"/>
          <w:szCs w:val="24"/>
        </w:rPr>
      </w:pPr>
    </w:p>
    <w:p w14:paraId="47388A72">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8"/>
          <w:szCs w:val="28"/>
        </w:rPr>
      </w:pPr>
    </w:p>
    <w:p w14:paraId="50F98835">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b/>
          <w:bCs/>
          <w:sz w:val="28"/>
          <w:szCs w:val="28"/>
        </w:rPr>
      </w:pPr>
      <w:r>
        <w:rPr>
          <w:rFonts w:hint="eastAsia" w:ascii="宋体" w:hAnsi="宋体" w:eastAsia="宋体" w:cs="宋体"/>
          <w:b/>
          <w:bCs/>
          <w:sz w:val="28"/>
          <w:szCs w:val="28"/>
        </w:rPr>
        <w:t>本科教育教学审核评估指标体系</w:t>
      </w:r>
    </w:p>
    <w:tbl>
      <w:tblPr>
        <w:tblStyle w:val="9"/>
        <w:tblW w:w="9543" w:type="dxa"/>
        <w:jc w:val="center"/>
        <w:tblLayout w:type="fixed"/>
        <w:tblCellMar>
          <w:top w:w="0" w:type="dxa"/>
          <w:left w:w="108" w:type="dxa"/>
          <w:bottom w:w="0" w:type="dxa"/>
          <w:right w:w="108" w:type="dxa"/>
        </w:tblCellMar>
      </w:tblPr>
      <w:tblGrid>
        <w:gridCol w:w="733"/>
        <w:gridCol w:w="944"/>
        <w:gridCol w:w="1507"/>
        <w:gridCol w:w="6359"/>
      </w:tblGrid>
      <w:tr w14:paraId="43AEE542">
        <w:tblPrEx>
          <w:tblCellMar>
            <w:top w:w="0" w:type="dxa"/>
            <w:left w:w="108" w:type="dxa"/>
            <w:bottom w:w="0" w:type="dxa"/>
            <w:right w:w="108" w:type="dxa"/>
          </w:tblCellMar>
        </w:tblPrEx>
        <w:trPr>
          <w:trHeight w:val="836" w:hRule="atLeast"/>
          <w:tblHeader/>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A39">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一级</w:t>
            </w:r>
          </w:p>
          <w:p w14:paraId="06BC973D">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0C56">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二级</w:t>
            </w:r>
          </w:p>
          <w:p w14:paraId="62F0145C">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指标</w:t>
            </w: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F3537">
            <w:pPr>
              <w:keepNext w:val="0"/>
              <w:keepLines w:val="0"/>
              <w:widowControl/>
              <w:suppressLineNumbers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审核重点</w:t>
            </w:r>
          </w:p>
        </w:tc>
      </w:tr>
      <w:tr w14:paraId="54D16A2F">
        <w:tblPrEx>
          <w:tblCellMar>
            <w:top w:w="0" w:type="dxa"/>
            <w:left w:w="108" w:type="dxa"/>
            <w:bottom w:w="0" w:type="dxa"/>
            <w:right w:w="108" w:type="dxa"/>
          </w:tblCellMar>
        </w:tblPrEx>
        <w:trPr>
          <w:trHeight w:val="794"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F595">
            <w:pPr>
              <w:keepNext w:val="0"/>
              <w:keepLines w:val="0"/>
              <w:widowControl/>
              <w:suppressLineNumbers w:val="0"/>
              <w:spacing w:before="0" w:beforeAutospacing="0" w:after="0" w:afterAutospacing="0" w:line="360" w:lineRule="auto"/>
              <w:ind w:left="0" w:leftChars="0" w:right="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2.培养过程</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CDE90">
            <w:pPr>
              <w:keepNext w:val="0"/>
              <w:keepLines w:val="0"/>
              <w:widowControl/>
              <w:suppressLineNumbers w:val="0"/>
              <w:spacing w:before="0" w:beforeAutospacing="0" w:after="0" w:afterAutospacing="0" w:line="360" w:lineRule="auto"/>
              <w:ind w:left="0" w:leftChars="0" w:right="0" w:firstLine="0" w:firstLineChars="0"/>
              <w:jc w:val="both"/>
              <w:textAlignment w:val="center"/>
              <w:rPr>
                <w:rFonts w:hint="eastAsia" w:ascii="宋体" w:hAnsi="宋体" w:eastAsia="宋体" w:cs="宋体"/>
                <w:color w:val="000000"/>
                <w:sz w:val="21"/>
                <w:szCs w:val="21"/>
              </w:rPr>
            </w:pPr>
            <w:r>
              <w:rPr>
                <w:rStyle w:val="21"/>
                <w:rFonts w:hint="eastAsia" w:ascii="宋体" w:hAnsi="宋体" w:eastAsia="宋体" w:cs="宋体"/>
                <w:sz w:val="21"/>
                <w:szCs w:val="21"/>
                <w:lang w:bidi="ar"/>
              </w:rPr>
              <w:t>2.1 培养方案</w:t>
            </w: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E0B15">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2.1.1 培养目标符合学校定位、适应社会经济发展需要体现学生德智体美劳全面发展情况</w:t>
            </w:r>
          </w:p>
        </w:tc>
      </w:tr>
      <w:tr w14:paraId="1F7AF0DE">
        <w:tblPrEx>
          <w:tblCellMar>
            <w:top w:w="0" w:type="dxa"/>
            <w:left w:w="108" w:type="dxa"/>
            <w:bottom w:w="0" w:type="dxa"/>
            <w:right w:w="108" w:type="dxa"/>
          </w:tblCellMar>
        </w:tblPrEx>
        <w:trPr>
          <w:trHeight w:val="169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21C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8F0D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C6EA1">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2.1.2 培养方案符合国家专业类标准、体现产出导向理念情况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【必选】学生毕业必须修满的公共艺术课程学分数≥2 学分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【必选】劳动教育必修课或必修课程中劳动教育模块学时总数≥32学时</w:t>
            </w:r>
          </w:p>
        </w:tc>
      </w:tr>
      <w:tr w14:paraId="541318A2">
        <w:tblPrEx>
          <w:tblCellMar>
            <w:top w:w="0" w:type="dxa"/>
            <w:left w:w="108" w:type="dxa"/>
            <w:bottom w:w="0" w:type="dxa"/>
            <w:right w:w="108" w:type="dxa"/>
          </w:tblCellMar>
        </w:tblPrEx>
        <w:trPr>
          <w:trHeight w:val="77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7F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BEF6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67CB">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B2.1.3</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2547">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Style w:val="22"/>
                <w:rFonts w:hint="eastAsia" w:ascii="宋体" w:hAnsi="宋体" w:eastAsia="宋体" w:cs="宋体"/>
                <w:sz w:val="21"/>
                <w:szCs w:val="21"/>
                <w:lang w:bidi="ar"/>
              </w:rPr>
              <w:t>B1</w:t>
            </w:r>
            <w:r>
              <w:rPr>
                <w:rStyle w:val="21"/>
                <w:rFonts w:hint="eastAsia" w:ascii="宋体" w:hAnsi="宋体" w:eastAsia="宋体" w:cs="宋体"/>
                <w:sz w:val="21"/>
                <w:szCs w:val="21"/>
                <w:lang w:bidi="ar"/>
              </w:rPr>
              <w:t xml:space="preserve"> 培养方案强化理论基础、突出科教融合注重培养学生创新能力情况</w:t>
            </w:r>
          </w:p>
        </w:tc>
      </w:tr>
      <w:tr w14:paraId="149CC767">
        <w:tblPrEx>
          <w:tblCellMar>
            <w:top w:w="0" w:type="dxa"/>
            <w:left w:w="108" w:type="dxa"/>
            <w:bottom w:w="0" w:type="dxa"/>
            <w:right w:w="108" w:type="dxa"/>
          </w:tblCellMar>
        </w:tblPrEx>
        <w:trPr>
          <w:trHeight w:val="65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AD7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74177">
            <w:pPr>
              <w:keepNext w:val="0"/>
              <w:keepLines w:val="0"/>
              <w:widowControl/>
              <w:suppressLineNumbers w:val="0"/>
              <w:spacing w:before="0" w:beforeAutospacing="0" w:after="0" w:afterAutospacing="0" w:line="360" w:lineRule="auto"/>
              <w:ind w:left="0" w:leftChars="0" w:right="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 专业建设</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DDD1">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B2.2.1</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C6E">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Style w:val="22"/>
                <w:rFonts w:hint="eastAsia" w:ascii="宋体" w:hAnsi="宋体" w:eastAsia="宋体" w:cs="宋体"/>
                <w:sz w:val="21"/>
                <w:szCs w:val="21"/>
                <w:lang w:bidi="ar"/>
              </w:rPr>
              <w:t>B1</w:t>
            </w:r>
            <w:r>
              <w:rPr>
                <w:rStyle w:val="21"/>
                <w:rFonts w:hint="eastAsia" w:ascii="宋体" w:hAnsi="宋体" w:eastAsia="宋体" w:cs="宋体"/>
                <w:sz w:val="21"/>
                <w:szCs w:val="21"/>
                <w:lang w:bidi="ar"/>
              </w:rPr>
              <w:t xml:space="preserve"> 专业设置、专业建设与国家重大发展战略及社会对创新型人才需求的契合情况</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【必选】通过认证（评估）的专业占专业总数的比例</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【可选】近三年新增专业数</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【可选】近三年停招专业数</w:t>
            </w:r>
          </w:p>
        </w:tc>
      </w:tr>
      <w:tr w14:paraId="3A784457">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CA3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E432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FAE6">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B2.2.2</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1CF">
            <w:pPr>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b/>
                <w:bCs/>
                <w:color w:val="000000"/>
                <w:sz w:val="21"/>
                <w:szCs w:val="21"/>
              </w:rPr>
            </w:pPr>
            <w:r>
              <w:rPr>
                <w:rStyle w:val="22"/>
                <w:rFonts w:hint="eastAsia" w:ascii="宋体" w:hAnsi="宋体" w:eastAsia="宋体" w:cs="宋体"/>
                <w:sz w:val="21"/>
                <w:szCs w:val="21"/>
                <w:lang w:bidi="ar"/>
              </w:rPr>
              <w:t xml:space="preserve">B1 </w:t>
            </w:r>
            <w:r>
              <w:rPr>
                <w:rStyle w:val="21"/>
                <w:rFonts w:hint="eastAsia" w:ascii="宋体" w:hAnsi="宋体" w:eastAsia="宋体" w:cs="宋体"/>
                <w:sz w:val="21"/>
                <w:szCs w:val="21"/>
                <w:lang w:bidi="ar"/>
              </w:rPr>
              <w:t>围绕国家和区域经济发展需求，建立自主性、灵活性与规范性、稳定性相统一的专业设置管理体系情况</w:t>
            </w:r>
          </w:p>
        </w:tc>
      </w:tr>
      <w:tr w14:paraId="4F5FEF31">
        <w:tblPrEx>
          <w:tblCellMar>
            <w:top w:w="0" w:type="dxa"/>
            <w:left w:w="108" w:type="dxa"/>
            <w:bottom w:w="0" w:type="dxa"/>
            <w:right w:w="108" w:type="dxa"/>
          </w:tblCellMar>
        </w:tblPrEx>
        <w:trPr>
          <w:trHeight w:val="805"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213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1E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6EBEE">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2.2.3 学校通过主辅修、微专业和双学士学位培养等举措促进复合型人才培养情况</w:t>
            </w:r>
          </w:p>
        </w:tc>
      </w:tr>
      <w:tr w14:paraId="6EFE348E">
        <w:tblPrEx>
          <w:tblCellMar>
            <w:top w:w="0" w:type="dxa"/>
            <w:left w:w="108" w:type="dxa"/>
            <w:bottom w:w="0" w:type="dxa"/>
            <w:right w:w="108" w:type="dxa"/>
          </w:tblCellMar>
        </w:tblPrEx>
        <w:trPr>
          <w:trHeight w:val="280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31B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6E3E7">
            <w:pPr>
              <w:keepNext w:val="0"/>
              <w:keepLines w:val="0"/>
              <w:widowControl/>
              <w:suppressLineNumbers w:val="0"/>
              <w:spacing w:before="0" w:beforeAutospacing="0" w:after="0" w:afterAutospacing="0" w:line="360" w:lineRule="auto"/>
              <w:ind w:left="0" w:leftChars="0" w:right="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 实践教学</w:t>
            </w: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24F09">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2.3.1 强化实践育人、构建实践教学体系、推动实践教学改革情况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【必选】实践教学学分占总学分（学时）比例（人文社科类专业≥15%，理工农医类专业≥25%）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【必选】国家级、省级实践教学基地（包括实验教学 示范中心、虚拟仿真实验中心、虚拟仿真实验教学项目、临床教学培训示范中心、工程实践基地、农科教合作人才培养基地、校外大学生实践教育基地等）数</w:t>
            </w:r>
          </w:p>
        </w:tc>
      </w:tr>
      <w:tr w14:paraId="36822A44">
        <w:tblPrEx>
          <w:tblCellMar>
            <w:top w:w="0" w:type="dxa"/>
            <w:left w:w="108" w:type="dxa"/>
            <w:bottom w:w="0" w:type="dxa"/>
            <w:right w:w="108" w:type="dxa"/>
          </w:tblCellMar>
        </w:tblPrEx>
        <w:trPr>
          <w:trHeight w:val="1227"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033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E1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2B1">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B2.3.2</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F41">
            <w:pPr>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b/>
                <w:bCs/>
                <w:color w:val="000000"/>
                <w:sz w:val="21"/>
                <w:szCs w:val="21"/>
              </w:rPr>
            </w:pPr>
            <w:r>
              <w:rPr>
                <w:rStyle w:val="22"/>
                <w:rFonts w:hint="eastAsia" w:ascii="宋体" w:hAnsi="宋体" w:eastAsia="宋体" w:cs="宋体"/>
                <w:sz w:val="21"/>
                <w:szCs w:val="21"/>
                <w:lang w:bidi="ar"/>
              </w:rPr>
              <w:t xml:space="preserve">B1 </w:t>
            </w:r>
            <w:r>
              <w:rPr>
                <w:rStyle w:val="21"/>
                <w:rFonts w:hint="eastAsia" w:ascii="宋体" w:hAnsi="宋体" w:eastAsia="宋体" w:cs="宋体"/>
                <w:sz w:val="21"/>
                <w:szCs w:val="21"/>
                <w:lang w:bidi="ar"/>
              </w:rPr>
              <w:t>学校与科研院所、企业共建科研实践、实习实训基地情况</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【可选】与行业企业共建的实验教学中心数</w:t>
            </w:r>
          </w:p>
        </w:tc>
      </w:tr>
      <w:tr w14:paraId="6A632741">
        <w:tblPrEx>
          <w:tblCellMar>
            <w:top w:w="0" w:type="dxa"/>
            <w:left w:w="108" w:type="dxa"/>
            <w:bottom w:w="0" w:type="dxa"/>
            <w:right w:w="108" w:type="dxa"/>
          </w:tblCellMar>
        </w:tblPrEx>
        <w:trPr>
          <w:trHeight w:val="156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AD8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CBC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1E9B">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B2.3.3</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41DC">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Style w:val="22"/>
                <w:rFonts w:hint="eastAsia" w:ascii="宋体" w:hAnsi="宋体" w:eastAsia="宋体" w:cs="宋体"/>
                <w:sz w:val="21"/>
                <w:szCs w:val="21"/>
                <w:lang w:bidi="ar"/>
              </w:rPr>
              <w:t>B1</w:t>
            </w:r>
            <w:r>
              <w:rPr>
                <w:rStyle w:val="23"/>
                <w:rFonts w:hint="eastAsia" w:ascii="宋体" w:hAnsi="宋体" w:eastAsia="宋体" w:cs="宋体"/>
                <w:sz w:val="21"/>
                <w:szCs w:val="21"/>
                <w:lang w:bidi="ar"/>
              </w:rPr>
              <w:t xml:space="preserve"> </w:t>
            </w:r>
            <w:r>
              <w:rPr>
                <w:rStyle w:val="21"/>
                <w:rFonts w:hint="eastAsia" w:ascii="宋体" w:hAnsi="宋体" w:eastAsia="宋体" w:cs="宋体"/>
                <w:sz w:val="21"/>
                <w:szCs w:val="21"/>
                <w:lang w:bidi="ar"/>
              </w:rPr>
              <w:t>毕业论文（设计）选题来自教师专业实践、科研课题情况及完成质量</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【必选】以实验、实习、工程实践和社会调查等实践性工作为基础的毕业论文（设计）比例≥50%</w:t>
            </w:r>
          </w:p>
        </w:tc>
      </w:tr>
      <w:tr w14:paraId="0C81CFB3">
        <w:tblPrEx>
          <w:tblCellMar>
            <w:top w:w="0" w:type="dxa"/>
            <w:left w:w="108" w:type="dxa"/>
            <w:bottom w:w="0" w:type="dxa"/>
            <w:right w:w="108" w:type="dxa"/>
          </w:tblCellMar>
        </w:tblPrEx>
        <w:trPr>
          <w:trHeight w:val="78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A44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6EA70">
            <w:pPr>
              <w:keepNext w:val="0"/>
              <w:keepLines w:val="0"/>
              <w:widowControl/>
              <w:suppressLineNumbers w:val="0"/>
              <w:spacing w:before="0" w:beforeAutospacing="0" w:after="0" w:afterAutospacing="0" w:line="360" w:lineRule="auto"/>
              <w:ind w:left="0" w:leftChars="0" w:right="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 课堂教学</w:t>
            </w: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DD0E2">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2.4.1 实施“以学为中心、以教为主导”的课堂教学，开展以学生学习成果为导向的教学评价情况</w:t>
            </w:r>
          </w:p>
        </w:tc>
      </w:tr>
      <w:tr w14:paraId="11EE462B">
        <w:tblPrEx>
          <w:tblCellMar>
            <w:top w:w="0" w:type="dxa"/>
            <w:left w:w="108" w:type="dxa"/>
            <w:bottom w:w="0" w:type="dxa"/>
            <w:right w:w="108" w:type="dxa"/>
          </w:tblCellMar>
        </w:tblPrEx>
        <w:trPr>
          <w:trHeight w:val="691"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F38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7B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3DF30">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2.4.2 推进信息技术与教学过程融合、加强信息化教学环境与资源建设情况</w:t>
            </w:r>
          </w:p>
        </w:tc>
      </w:tr>
      <w:tr w14:paraId="7C4F195C">
        <w:tblPrEx>
          <w:tblCellMar>
            <w:top w:w="0" w:type="dxa"/>
            <w:left w:w="108" w:type="dxa"/>
            <w:bottom w:w="0" w:type="dxa"/>
            <w:right w:w="108" w:type="dxa"/>
          </w:tblCellMar>
        </w:tblPrEx>
        <w:trPr>
          <w:trHeight w:val="217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989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31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EF95D">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2.4.3 建立健全教材管理机构和工作制度情况，依照教材审核选用标准和程序选用教材情况；推进马工程重点教材统一使用情况；对教材选用工作出现负面问题的处理情况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【必选】使用马工程重点教材课程数量与学校应使用马工程重点教材课程数量的比例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【可选】近五年公开出版的教材数</w:t>
            </w:r>
          </w:p>
        </w:tc>
      </w:tr>
      <w:tr w14:paraId="53C69A9B">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6C1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B8D9D">
            <w:pPr>
              <w:keepNext w:val="0"/>
              <w:keepLines w:val="0"/>
              <w:widowControl/>
              <w:suppressLineNumbers w:val="0"/>
              <w:spacing w:before="0" w:beforeAutospacing="0" w:after="0" w:afterAutospacing="0" w:line="360" w:lineRule="auto"/>
              <w:ind w:left="0" w:leftChars="0" w:right="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K2.5 卓越培养</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909">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K2.5.1</w:t>
            </w:r>
          </w:p>
        </w:tc>
        <w:tc>
          <w:tcPr>
            <w:tcW w:w="6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B2E">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bCs/>
                <w:color w:val="000000"/>
                <w:sz w:val="21"/>
                <w:szCs w:val="21"/>
              </w:rPr>
            </w:pPr>
            <w:r>
              <w:rPr>
                <w:rStyle w:val="22"/>
                <w:rFonts w:hint="eastAsia" w:ascii="宋体" w:hAnsi="宋体" w:eastAsia="宋体" w:cs="宋体"/>
                <w:sz w:val="21"/>
                <w:szCs w:val="21"/>
                <w:lang w:bidi="ar"/>
              </w:rPr>
              <w:t xml:space="preserve">K1 </w:t>
            </w:r>
            <w:r>
              <w:rPr>
                <w:rStyle w:val="21"/>
                <w:rFonts w:hint="eastAsia" w:ascii="宋体" w:hAnsi="宋体" w:eastAsia="宋体" w:cs="宋体"/>
                <w:sz w:val="21"/>
                <w:szCs w:val="21"/>
                <w:lang w:bidi="ar"/>
              </w:rPr>
              <w:t>科教协同拔尖人才培养模式改革及其实践效果</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【可选】基础学科拔尖学生培养计划学生数</w:t>
            </w:r>
          </w:p>
        </w:tc>
      </w:tr>
      <w:tr w14:paraId="5AAFC31C">
        <w:tblPrEx>
          <w:tblCellMar>
            <w:top w:w="0" w:type="dxa"/>
            <w:left w:w="108" w:type="dxa"/>
            <w:bottom w:w="0" w:type="dxa"/>
            <w:right w:w="108" w:type="dxa"/>
          </w:tblCellMar>
        </w:tblPrEx>
        <w:trPr>
          <w:trHeight w:val="156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50B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82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061AB">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Style w:val="21"/>
                <w:rFonts w:hint="eastAsia" w:ascii="宋体" w:hAnsi="宋体" w:eastAsia="宋体" w:cs="宋体"/>
                <w:sz w:val="21"/>
                <w:szCs w:val="21"/>
                <w:lang w:bidi="ar"/>
              </w:rPr>
              <w:t>K2.5.2 加强课程体系整体设计，优化公共课、专业基础课和专业课比例结构，提高课程建设规划性、系统性情况</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【必选】本科生生均课程门数</w:t>
            </w:r>
            <w:r>
              <w:rPr>
                <w:rStyle w:val="21"/>
                <w:rFonts w:hint="eastAsia" w:ascii="宋体" w:hAnsi="宋体" w:eastAsia="宋体" w:cs="宋体"/>
                <w:sz w:val="21"/>
                <w:szCs w:val="21"/>
                <w:lang w:bidi="ar"/>
              </w:rPr>
              <w:br w:type="textWrapping"/>
            </w:r>
            <w:r>
              <w:rPr>
                <w:rStyle w:val="21"/>
                <w:rFonts w:hint="eastAsia" w:ascii="宋体" w:hAnsi="宋体" w:eastAsia="宋体" w:cs="宋体"/>
                <w:sz w:val="21"/>
                <w:szCs w:val="21"/>
                <w:lang w:bidi="ar"/>
              </w:rPr>
              <w:t>【可选】与行业企业共建、共同讲授的课程数</w:t>
            </w:r>
          </w:p>
        </w:tc>
      </w:tr>
      <w:tr w14:paraId="564B8588">
        <w:tblPrEx>
          <w:tblCellMar>
            <w:top w:w="0" w:type="dxa"/>
            <w:left w:w="108" w:type="dxa"/>
            <w:bottom w:w="0" w:type="dxa"/>
            <w:right w:w="108" w:type="dxa"/>
          </w:tblCellMar>
        </w:tblPrEx>
        <w:trPr>
          <w:trHeight w:val="94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545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0FB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4C98">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K2.5.3 新工科、新农科、新医科、新文科建设以及围绕“培育高水平教学成果”开展教研教改项目建设的举措及实施成效</w:t>
            </w:r>
          </w:p>
        </w:tc>
      </w:tr>
      <w:tr w14:paraId="1D1664DE">
        <w:tblPrEx>
          <w:tblCellMar>
            <w:top w:w="0" w:type="dxa"/>
            <w:left w:w="108" w:type="dxa"/>
            <w:bottom w:w="0" w:type="dxa"/>
            <w:right w:w="108" w:type="dxa"/>
          </w:tblCellMar>
        </w:tblPrEx>
        <w:trPr>
          <w:trHeight w:val="526"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1CE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AC7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C204">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K2.5.4 一流专业“双万计划”建设举措及成效</w:t>
            </w:r>
          </w:p>
        </w:tc>
      </w:tr>
      <w:tr w14:paraId="7AAB0063">
        <w:tblPrEx>
          <w:tblCellMar>
            <w:top w:w="0" w:type="dxa"/>
            <w:left w:w="108" w:type="dxa"/>
            <w:bottom w:w="0" w:type="dxa"/>
            <w:right w:w="108" w:type="dxa"/>
          </w:tblCellMar>
        </w:tblPrEx>
        <w:trPr>
          <w:trHeight w:val="513"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9CC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A72B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DDEA4">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K2.5.5 一流课程“双万计划”建设举措及成效</w:t>
            </w:r>
          </w:p>
        </w:tc>
      </w:tr>
      <w:tr w14:paraId="4AE9B5A4">
        <w:tblPrEx>
          <w:tblCellMar>
            <w:top w:w="0" w:type="dxa"/>
            <w:left w:w="108" w:type="dxa"/>
            <w:bottom w:w="0" w:type="dxa"/>
            <w:right w:w="108" w:type="dxa"/>
          </w:tblCellMar>
        </w:tblPrEx>
        <w:trPr>
          <w:trHeight w:val="53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CBF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828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FBDE4">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K2.5.6 优秀教材建设举措及成效</w:t>
            </w:r>
          </w:p>
        </w:tc>
      </w:tr>
      <w:tr w14:paraId="35C946A6">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797F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296B6">
            <w:pPr>
              <w:keepNext w:val="0"/>
              <w:keepLines w:val="0"/>
              <w:widowControl/>
              <w:suppressLineNumbers w:val="0"/>
              <w:spacing w:before="0" w:beforeAutospacing="0" w:after="0" w:afterAutospacing="0" w:line="360" w:lineRule="auto"/>
              <w:ind w:left="0" w:leftChars="0" w:right="0" w:firstLine="0" w:firstLineChars="0"/>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 创新创业教育</w:t>
            </w: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C6C28">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2.6.1 创新创业教育工作体系与创新创业教育平台建设情况</w:t>
            </w:r>
          </w:p>
        </w:tc>
      </w:tr>
      <w:tr w14:paraId="6F3275AE">
        <w:tblPrEx>
          <w:tblCellMar>
            <w:top w:w="0" w:type="dxa"/>
            <w:left w:w="108" w:type="dxa"/>
            <w:bottom w:w="0" w:type="dxa"/>
            <w:right w:w="108" w:type="dxa"/>
          </w:tblCellMar>
        </w:tblPrEx>
        <w:trPr>
          <w:trHeight w:val="642"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85EB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839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BACA6">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2.6.2 将创新创业教育贯穿于人才培养全过程、融入专业教育的举措与成效</w:t>
            </w:r>
          </w:p>
        </w:tc>
      </w:tr>
      <w:tr w14:paraId="1C973C04">
        <w:tblPrEx>
          <w:tblCellMar>
            <w:top w:w="0" w:type="dxa"/>
            <w:left w:w="108" w:type="dxa"/>
            <w:bottom w:w="0" w:type="dxa"/>
            <w:right w:w="108" w:type="dxa"/>
          </w:tblCellMar>
        </w:tblPrEx>
        <w:trPr>
          <w:trHeight w:val="61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AD6B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092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p>
        </w:tc>
        <w:tc>
          <w:tcPr>
            <w:tcW w:w="7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38F51">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2.6.3 学生参与创新创业教育积极性及创新创业教育成果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【必选】本科生参加各级各类创新创业实践活动人数及比例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【必选】省级及以上“互联网+”大学生创新创业大赛获奖数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【可选】省级及以上学科竞赛获奖学生人次数占学生总数的比例</w:t>
            </w:r>
          </w:p>
        </w:tc>
      </w:tr>
    </w:tbl>
    <w:p w14:paraId="67DE18AB">
      <w:pPr>
        <w:spacing w:beforeLines="0" w:afterLines="0" w:line="360" w:lineRule="auto"/>
        <w:ind w:left="0" w:leftChars="0" w:firstLine="0" w:firstLineChars="0"/>
        <w:jc w:val="left"/>
        <w:rPr>
          <w:rFonts w:hint="eastAsia" w:ascii="宋体" w:hAnsi="宋体" w:eastAsia="宋体" w:cs="宋体"/>
          <w:color w:val="000000"/>
          <w:sz w:val="24"/>
          <w:szCs w:val="24"/>
        </w:rPr>
      </w:pPr>
    </w:p>
    <w:p w14:paraId="32AB8738">
      <w:pPr>
        <w:spacing w:line="360" w:lineRule="auto"/>
        <w:rPr>
          <w:rFonts w:hint="eastAsia" w:ascii="宋体" w:hAnsi="宋体" w:eastAsia="宋体" w:cs="宋体"/>
          <w:color w:val="001AE6"/>
          <w:sz w:val="24"/>
          <w:szCs w:val="24"/>
        </w:rPr>
      </w:pPr>
    </w:p>
    <w:p w14:paraId="4957590B">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8"/>
          <w:szCs w:val="28"/>
        </w:rPr>
      </w:pPr>
    </w:p>
    <w:p w14:paraId="38CE47D3">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8"/>
          <w:szCs w:val="28"/>
        </w:rPr>
      </w:pPr>
    </w:p>
    <w:p w14:paraId="27814E30">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sz w:val="28"/>
          <w:szCs w:val="28"/>
        </w:rPr>
      </w:pPr>
    </w:p>
    <w:p w14:paraId="0AF92F10">
      <w:pPr>
        <w:spacing w:beforeLines="50" w:afterLines="50" w:line="360" w:lineRule="auto"/>
        <w:ind w:left="0" w:leftChars="0" w:firstLine="0" w:firstLineChars="0"/>
        <w:jc w:val="center"/>
        <w:rPr>
          <w:rFonts w:hint="eastAsia" w:ascii="宋体" w:hAnsi="宋体" w:eastAsia="宋体" w:cs="宋体"/>
          <w:b/>
          <w:sz w:val="32"/>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AC2E">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CC1EC">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1CC1EC">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805E">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0MjAxNTczNjQ3tzRU0lEKTi0uzszPAykwrAUA+eJjeCwAAAA="/>
    <w:docVar w:name="commondata" w:val="eyJoZGlkIjoiYzY2YzEzNjVkYWVjOTM2ZTk1OTM4M2I1YTRlNTMwZGQifQ=="/>
  </w:docVars>
  <w:rsids>
    <w:rsidRoot w:val="008D6E4B"/>
    <w:rsid w:val="00000914"/>
    <w:rsid w:val="0002270A"/>
    <w:rsid w:val="00054D65"/>
    <w:rsid w:val="000747C7"/>
    <w:rsid w:val="000A0ACC"/>
    <w:rsid w:val="000A1ECE"/>
    <w:rsid w:val="000B1F3C"/>
    <w:rsid w:val="000B31E3"/>
    <w:rsid w:val="001F40A8"/>
    <w:rsid w:val="002041EE"/>
    <w:rsid w:val="0021037B"/>
    <w:rsid w:val="00243F4B"/>
    <w:rsid w:val="00245D9B"/>
    <w:rsid w:val="00290E92"/>
    <w:rsid w:val="002A51EC"/>
    <w:rsid w:val="002D6729"/>
    <w:rsid w:val="00344668"/>
    <w:rsid w:val="003657CE"/>
    <w:rsid w:val="00382BF0"/>
    <w:rsid w:val="00392AA0"/>
    <w:rsid w:val="00393082"/>
    <w:rsid w:val="003C50B4"/>
    <w:rsid w:val="003E5A14"/>
    <w:rsid w:val="00447715"/>
    <w:rsid w:val="00463DF6"/>
    <w:rsid w:val="004F0EE2"/>
    <w:rsid w:val="00556154"/>
    <w:rsid w:val="005562FF"/>
    <w:rsid w:val="00571483"/>
    <w:rsid w:val="005807C9"/>
    <w:rsid w:val="00592F49"/>
    <w:rsid w:val="005C39A3"/>
    <w:rsid w:val="006670F5"/>
    <w:rsid w:val="006C0EBA"/>
    <w:rsid w:val="006F50C2"/>
    <w:rsid w:val="00715C00"/>
    <w:rsid w:val="007244B3"/>
    <w:rsid w:val="00754C8D"/>
    <w:rsid w:val="007668FA"/>
    <w:rsid w:val="00784542"/>
    <w:rsid w:val="007A7513"/>
    <w:rsid w:val="007D0CDC"/>
    <w:rsid w:val="007D5134"/>
    <w:rsid w:val="008623C9"/>
    <w:rsid w:val="00884707"/>
    <w:rsid w:val="008B3001"/>
    <w:rsid w:val="008D6E4B"/>
    <w:rsid w:val="008E06D1"/>
    <w:rsid w:val="008E3189"/>
    <w:rsid w:val="008E59D0"/>
    <w:rsid w:val="008E630C"/>
    <w:rsid w:val="00936902"/>
    <w:rsid w:val="00984A66"/>
    <w:rsid w:val="00997BBF"/>
    <w:rsid w:val="00A05175"/>
    <w:rsid w:val="00A859DA"/>
    <w:rsid w:val="00AC56A8"/>
    <w:rsid w:val="00AE4B06"/>
    <w:rsid w:val="00B204A4"/>
    <w:rsid w:val="00B55857"/>
    <w:rsid w:val="00B64AFD"/>
    <w:rsid w:val="00BF1033"/>
    <w:rsid w:val="00C267A3"/>
    <w:rsid w:val="00C64117"/>
    <w:rsid w:val="00C71B18"/>
    <w:rsid w:val="00C96BCF"/>
    <w:rsid w:val="00CB6AB9"/>
    <w:rsid w:val="00CC0525"/>
    <w:rsid w:val="00CC24A7"/>
    <w:rsid w:val="00D05677"/>
    <w:rsid w:val="00D13ECD"/>
    <w:rsid w:val="00D63637"/>
    <w:rsid w:val="00D94712"/>
    <w:rsid w:val="00DA4BCE"/>
    <w:rsid w:val="00DD5AE8"/>
    <w:rsid w:val="00DE3B3F"/>
    <w:rsid w:val="00E06167"/>
    <w:rsid w:val="00E1032B"/>
    <w:rsid w:val="00E10593"/>
    <w:rsid w:val="00E53633"/>
    <w:rsid w:val="00E5736D"/>
    <w:rsid w:val="00EA3E85"/>
    <w:rsid w:val="00F03D0D"/>
    <w:rsid w:val="00F46B85"/>
    <w:rsid w:val="00F522B4"/>
    <w:rsid w:val="00F53FDA"/>
    <w:rsid w:val="00F81B57"/>
    <w:rsid w:val="00F81EA3"/>
    <w:rsid w:val="00F925B9"/>
    <w:rsid w:val="00FB5C1D"/>
    <w:rsid w:val="00FC2984"/>
    <w:rsid w:val="01DF5C17"/>
    <w:rsid w:val="01E21263"/>
    <w:rsid w:val="01FC328E"/>
    <w:rsid w:val="024E61F0"/>
    <w:rsid w:val="034D164A"/>
    <w:rsid w:val="037F7749"/>
    <w:rsid w:val="03BF316B"/>
    <w:rsid w:val="05F81055"/>
    <w:rsid w:val="06AC2AEC"/>
    <w:rsid w:val="06BA27AF"/>
    <w:rsid w:val="07071134"/>
    <w:rsid w:val="0753050D"/>
    <w:rsid w:val="07811441"/>
    <w:rsid w:val="082500FC"/>
    <w:rsid w:val="09870885"/>
    <w:rsid w:val="09B86E94"/>
    <w:rsid w:val="09D92A71"/>
    <w:rsid w:val="0A006F7F"/>
    <w:rsid w:val="0A176F80"/>
    <w:rsid w:val="0A6D4C30"/>
    <w:rsid w:val="0BEA2EAA"/>
    <w:rsid w:val="0CA74A68"/>
    <w:rsid w:val="0E5352AC"/>
    <w:rsid w:val="0E945864"/>
    <w:rsid w:val="0ECC3B7F"/>
    <w:rsid w:val="0F907408"/>
    <w:rsid w:val="0FE66C9F"/>
    <w:rsid w:val="10D475C5"/>
    <w:rsid w:val="11D507D7"/>
    <w:rsid w:val="12096398"/>
    <w:rsid w:val="120A31AF"/>
    <w:rsid w:val="122E5DFF"/>
    <w:rsid w:val="129C53F3"/>
    <w:rsid w:val="131575BF"/>
    <w:rsid w:val="132C1E68"/>
    <w:rsid w:val="146840A4"/>
    <w:rsid w:val="15204AEC"/>
    <w:rsid w:val="15503C2B"/>
    <w:rsid w:val="15F5345B"/>
    <w:rsid w:val="16027CCE"/>
    <w:rsid w:val="17723A7B"/>
    <w:rsid w:val="17867F19"/>
    <w:rsid w:val="18E214F8"/>
    <w:rsid w:val="19466124"/>
    <w:rsid w:val="197310D0"/>
    <w:rsid w:val="1A18186E"/>
    <w:rsid w:val="1A2464E3"/>
    <w:rsid w:val="1A597FD2"/>
    <w:rsid w:val="1A6A6FE9"/>
    <w:rsid w:val="1A954D57"/>
    <w:rsid w:val="1B697EA8"/>
    <w:rsid w:val="1B915731"/>
    <w:rsid w:val="1C4D0525"/>
    <w:rsid w:val="1E0F0514"/>
    <w:rsid w:val="1E3F2CD5"/>
    <w:rsid w:val="1F7F7C9A"/>
    <w:rsid w:val="206375BB"/>
    <w:rsid w:val="20B61DE1"/>
    <w:rsid w:val="21905A7F"/>
    <w:rsid w:val="21D50045"/>
    <w:rsid w:val="22810E2B"/>
    <w:rsid w:val="22966886"/>
    <w:rsid w:val="22B9567F"/>
    <w:rsid w:val="23537D6B"/>
    <w:rsid w:val="23B33076"/>
    <w:rsid w:val="23DA7B95"/>
    <w:rsid w:val="23E66539"/>
    <w:rsid w:val="240D1D18"/>
    <w:rsid w:val="24155071"/>
    <w:rsid w:val="244B2840"/>
    <w:rsid w:val="249A6DF1"/>
    <w:rsid w:val="255A6E84"/>
    <w:rsid w:val="25DF6E13"/>
    <w:rsid w:val="26061115"/>
    <w:rsid w:val="26795443"/>
    <w:rsid w:val="26997893"/>
    <w:rsid w:val="27F402D5"/>
    <w:rsid w:val="2826521B"/>
    <w:rsid w:val="284D138F"/>
    <w:rsid w:val="292545CE"/>
    <w:rsid w:val="29343AE1"/>
    <w:rsid w:val="298E7457"/>
    <w:rsid w:val="2AB86DB3"/>
    <w:rsid w:val="2B801021"/>
    <w:rsid w:val="2C587C47"/>
    <w:rsid w:val="2C8C4DEB"/>
    <w:rsid w:val="2C966A83"/>
    <w:rsid w:val="2CD91835"/>
    <w:rsid w:val="2D1F7CD3"/>
    <w:rsid w:val="2D572256"/>
    <w:rsid w:val="2DEC7744"/>
    <w:rsid w:val="2E5C7ABD"/>
    <w:rsid w:val="2F1A5FCB"/>
    <w:rsid w:val="300C06F6"/>
    <w:rsid w:val="31331383"/>
    <w:rsid w:val="317A39CD"/>
    <w:rsid w:val="31903F88"/>
    <w:rsid w:val="323701D4"/>
    <w:rsid w:val="32603978"/>
    <w:rsid w:val="3299109C"/>
    <w:rsid w:val="32BC1BA2"/>
    <w:rsid w:val="32CB34CA"/>
    <w:rsid w:val="332E2253"/>
    <w:rsid w:val="33C63593"/>
    <w:rsid w:val="33D7607B"/>
    <w:rsid w:val="3454129D"/>
    <w:rsid w:val="345F5250"/>
    <w:rsid w:val="349F4C0E"/>
    <w:rsid w:val="34AC189B"/>
    <w:rsid w:val="35523A2F"/>
    <w:rsid w:val="3660217B"/>
    <w:rsid w:val="36941E25"/>
    <w:rsid w:val="36A10E3B"/>
    <w:rsid w:val="38107BD1"/>
    <w:rsid w:val="38164F1F"/>
    <w:rsid w:val="392B5080"/>
    <w:rsid w:val="3A5D7130"/>
    <w:rsid w:val="3B250F82"/>
    <w:rsid w:val="3B6C511E"/>
    <w:rsid w:val="3C3026EA"/>
    <w:rsid w:val="3C6628CE"/>
    <w:rsid w:val="3CDB69FF"/>
    <w:rsid w:val="3CE21E78"/>
    <w:rsid w:val="3D9367AD"/>
    <w:rsid w:val="3DDE2F12"/>
    <w:rsid w:val="3DFF5234"/>
    <w:rsid w:val="3E285F8A"/>
    <w:rsid w:val="3E54251B"/>
    <w:rsid w:val="3F1C013E"/>
    <w:rsid w:val="3F550624"/>
    <w:rsid w:val="3F5E1222"/>
    <w:rsid w:val="3F892743"/>
    <w:rsid w:val="406B3DDC"/>
    <w:rsid w:val="40EB3399"/>
    <w:rsid w:val="40F47F6B"/>
    <w:rsid w:val="416F1E2F"/>
    <w:rsid w:val="41767F83"/>
    <w:rsid w:val="426923B8"/>
    <w:rsid w:val="43081887"/>
    <w:rsid w:val="43623087"/>
    <w:rsid w:val="436C6603"/>
    <w:rsid w:val="4430276F"/>
    <w:rsid w:val="45654C8F"/>
    <w:rsid w:val="458E20B9"/>
    <w:rsid w:val="45A63BA6"/>
    <w:rsid w:val="45A748EE"/>
    <w:rsid w:val="45D32B2E"/>
    <w:rsid w:val="45DC3BD8"/>
    <w:rsid w:val="4614767E"/>
    <w:rsid w:val="46FF2728"/>
    <w:rsid w:val="47FA02DB"/>
    <w:rsid w:val="48243082"/>
    <w:rsid w:val="49555444"/>
    <w:rsid w:val="49E05655"/>
    <w:rsid w:val="4A9B1F72"/>
    <w:rsid w:val="4AC620E2"/>
    <w:rsid w:val="4AD91EEB"/>
    <w:rsid w:val="4BC87715"/>
    <w:rsid w:val="4BE111D2"/>
    <w:rsid w:val="4C2F51C3"/>
    <w:rsid w:val="4C4154B0"/>
    <w:rsid w:val="4D330192"/>
    <w:rsid w:val="4D697710"/>
    <w:rsid w:val="4E3008AC"/>
    <w:rsid w:val="4E6A577A"/>
    <w:rsid w:val="4E8E1F5D"/>
    <w:rsid w:val="4EA85EEE"/>
    <w:rsid w:val="4FE44462"/>
    <w:rsid w:val="50772F8E"/>
    <w:rsid w:val="511D0F3D"/>
    <w:rsid w:val="514069D9"/>
    <w:rsid w:val="5143660E"/>
    <w:rsid w:val="529D1BDA"/>
    <w:rsid w:val="52B314B2"/>
    <w:rsid w:val="52D64C46"/>
    <w:rsid w:val="535A1483"/>
    <w:rsid w:val="536A0183"/>
    <w:rsid w:val="53FB7D50"/>
    <w:rsid w:val="54003CB9"/>
    <w:rsid w:val="542E16B3"/>
    <w:rsid w:val="545033D7"/>
    <w:rsid w:val="54A26BDC"/>
    <w:rsid w:val="57234E12"/>
    <w:rsid w:val="57F76B2D"/>
    <w:rsid w:val="581260D2"/>
    <w:rsid w:val="582801DC"/>
    <w:rsid w:val="58FA3F37"/>
    <w:rsid w:val="5A2715CA"/>
    <w:rsid w:val="5AD05272"/>
    <w:rsid w:val="5B6D1291"/>
    <w:rsid w:val="5BC811C9"/>
    <w:rsid w:val="5BE96412"/>
    <w:rsid w:val="5BF0183A"/>
    <w:rsid w:val="5C1557E5"/>
    <w:rsid w:val="5C1636B0"/>
    <w:rsid w:val="5C5E240A"/>
    <w:rsid w:val="5D443C97"/>
    <w:rsid w:val="5DB463B2"/>
    <w:rsid w:val="5E5D64CC"/>
    <w:rsid w:val="5E625B67"/>
    <w:rsid w:val="5E6A579E"/>
    <w:rsid w:val="5E7F1A74"/>
    <w:rsid w:val="5EA2778D"/>
    <w:rsid w:val="5EDD1D0C"/>
    <w:rsid w:val="5F9B55F0"/>
    <w:rsid w:val="5FFE4DD8"/>
    <w:rsid w:val="60A348AF"/>
    <w:rsid w:val="6106379C"/>
    <w:rsid w:val="613C63A1"/>
    <w:rsid w:val="623604CB"/>
    <w:rsid w:val="62F31AFE"/>
    <w:rsid w:val="62FD472A"/>
    <w:rsid w:val="6434552D"/>
    <w:rsid w:val="656B08E6"/>
    <w:rsid w:val="65707F0C"/>
    <w:rsid w:val="667A0B2E"/>
    <w:rsid w:val="66AC60CF"/>
    <w:rsid w:val="66AF3F8D"/>
    <w:rsid w:val="66F00263"/>
    <w:rsid w:val="67033466"/>
    <w:rsid w:val="671958AB"/>
    <w:rsid w:val="67395D0B"/>
    <w:rsid w:val="68067F98"/>
    <w:rsid w:val="68A05204"/>
    <w:rsid w:val="696B7927"/>
    <w:rsid w:val="696F059A"/>
    <w:rsid w:val="6A72463D"/>
    <w:rsid w:val="6BB578C6"/>
    <w:rsid w:val="6C03386D"/>
    <w:rsid w:val="6C1400EB"/>
    <w:rsid w:val="6DC66C97"/>
    <w:rsid w:val="6DF91315"/>
    <w:rsid w:val="6E46167B"/>
    <w:rsid w:val="6E5042A8"/>
    <w:rsid w:val="6F054167"/>
    <w:rsid w:val="6FA52B33"/>
    <w:rsid w:val="713D0A40"/>
    <w:rsid w:val="71707A73"/>
    <w:rsid w:val="71950224"/>
    <w:rsid w:val="725D0E4E"/>
    <w:rsid w:val="72FA4C75"/>
    <w:rsid w:val="743021DF"/>
    <w:rsid w:val="74977A30"/>
    <w:rsid w:val="74F3598D"/>
    <w:rsid w:val="75410DEE"/>
    <w:rsid w:val="75624D6E"/>
    <w:rsid w:val="756C73FA"/>
    <w:rsid w:val="76AF2AF3"/>
    <w:rsid w:val="76CE3AA4"/>
    <w:rsid w:val="772C5186"/>
    <w:rsid w:val="794064F6"/>
    <w:rsid w:val="79507C6C"/>
    <w:rsid w:val="7A223EAD"/>
    <w:rsid w:val="7A8F6158"/>
    <w:rsid w:val="7AA31C03"/>
    <w:rsid w:val="7B825BEA"/>
    <w:rsid w:val="7CC31B0B"/>
    <w:rsid w:val="7D4A6262"/>
    <w:rsid w:val="7D4C5740"/>
    <w:rsid w:val="7D4D248C"/>
    <w:rsid w:val="7DC728FC"/>
    <w:rsid w:val="7F0215EE"/>
    <w:rsid w:val="7FDD34C2"/>
    <w:rsid w:val="7FE1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3"/>
    <w:qFormat/>
    <w:uiPriority w:val="9"/>
    <w:pPr>
      <w:keepNext/>
      <w:keepLines/>
      <w:spacing w:before="120" w:line="580" w:lineRule="exact"/>
      <w:outlineLvl w:val="0"/>
    </w:pPr>
    <w:rPr>
      <w:rFonts w:eastAsia="黑体"/>
      <w:b/>
      <w:bCs/>
      <w:kern w:val="44"/>
      <w:szCs w:val="44"/>
    </w:rPr>
  </w:style>
  <w:style w:type="paragraph" w:styleId="3">
    <w:name w:val="heading 2"/>
    <w:basedOn w:val="1"/>
    <w:next w:val="1"/>
    <w:link w:val="14"/>
    <w:unhideWhenUsed/>
    <w:qFormat/>
    <w:uiPriority w:val="9"/>
    <w:pPr>
      <w:keepNext/>
      <w:keepLines/>
      <w:spacing w:before="120"/>
      <w:outlineLvl w:val="1"/>
    </w:pPr>
    <w:rPr>
      <w:rFonts w:eastAsia="楷体_GB2312" w:asciiTheme="majorHAnsi" w:hAnsiTheme="majorHAnsi" w:cstheme="majorBidi"/>
      <w:b/>
      <w:bCs/>
      <w:szCs w:val="32"/>
    </w:rPr>
  </w:style>
  <w:style w:type="paragraph" w:styleId="4">
    <w:name w:val="heading 3"/>
    <w:basedOn w:val="1"/>
    <w:next w:val="1"/>
    <w:link w:val="15"/>
    <w:unhideWhenUsed/>
    <w:qFormat/>
    <w:uiPriority w:val="9"/>
    <w:pPr>
      <w:keepNext/>
      <w:keepLines/>
      <w:spacing w:before="120"/>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480" w:lineRule="exact"/>
      <w:ind w:firstLine="560"/>
    </w:pPr>
    <w:rPr>
      <w:rFonts w:ascii="仿宋_GB2312" w:hAnsi="仿宋_GB2312" w:cs="Times New Roman"/>
      <w:sz w:val="28"/>
      <w:szCs w:val="28"/>
    </w:r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itle"/>
    <w:basedOn w:val="1"/>
    <w:next w:val="1"/>
    <w:link w:val="12"/>
    <w:qFormat/>
    <w:uiPriority w:val="10"/>
    <w:pPr>
      <w:spacing w:before="240" w:after="60"/>
      <w:jc w:val="center"/>
      <w:outlineLvl w:val="0"/>
    </w:pPr>
    <w:rPr>
      <w:rFonts w:ascii="方正小标宋简体" w:eastAsia="方正小标宋简体" w:hAnsiTheme="majorHAnsi" w:cstheme="majorBidi"/>
      <w:b/>
      <w:bCs/>
      <w:sz w:val="44"/>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字符"/>
    <w:basedOn w:val="11"/>
    <w:link w:val="8"/>
    <w:qFormat/>
    <w:uiPriority w:val="10"/>
    <w:rPr>
      <w:rFonts w:ascii="方正小标宋简体" w:eastAsia="方正小标宋简体" w:hAnsiTheme="majorHAnsi" w:cstheme="majorBidi"/>
      <w:b/>
      <w:bCs/>
      <w:sz w:val="44"/>
      <w:szCs w:val="32"/>
    </w:rPr>
  </w:style>
  <w:style w:type="character" w:customStyle="1" w:styleId="13">
    <w:name w:val="标题 1 字符"/>
    <w:basedOn w:val="11"/>
    <w:link w:val="2"/>
    <w:qFormat/>
    <w:uiPriority w:val="9"/>
    <w:rPr>
      <w:rFonts w:eastAsia="黑体"/>
      <w:b/>
      <w:bCs/>
      <w:kern w:val="44"/>
      <w:sz w:val="32"/>
      <w:szCs w:val="44"/>
    </w:rPr>
  </w:style>
  <w:style w:type="character" w:customStyle="1" w:styleId="14">
    <w:name w:val="标题 2 字符"/>
    <w:basedOn w:val="11"/>
    <w:link w:val="3"/>
    <w:qFormat/>
    <w:uiPriority w:val="9"/>
    <w:rPr>
      <w:rFonts w:eastAsia="楷体_GB2312" w:asciiTheme="majorHAnsi" w:hAnsiTheme="majorHAnsi" w:cstheme="majorBidi"/>
      <w:b/>
      <w:bCs/>
      <w:sz w:val="32"/>
      <w:szCs w:val="32"/>
    </w:rPr>
  </w:style>
  <w:style w:type="character" w:customStyle="1" w:styleId="15">
    <w:name w:val="标题 3 字符"/>
    <w:basedOn w:val="11"/>
    <w:link w:val="4"/>
    <w:qFormat/>
    <w:uiPriority w:val="9"/>
    <w:rPr>
      <w:rFonts w:eastAsia="仿宋_GB2312"/>
      <w:b/>
      <w:bCs/>
      <w:sz w:val="32"/>
      <w:szCs w:val="32"/>
    </w:rPr>
  </w:style>
  <w:style w:type="character" w:customStyle="1" w:styleId="16">
    <w:name w:val="页眉 字符"/>
    <w:basedOn w:val="11"/>
    <w:link w:val="7"/>
    <w:qFormat/>
    <w:uiPriority w:val="99"/>
    <w:rPr>
      <w:rFonts w:eastAsia="仿宋_GB2312"/>
      <w:sz w:val="18"/>
      <w:szCs w:val="18"/>
    </w:rPr>
  </w:style>
  <w:style w:type="character" w:customStyle="1" w:styleId="17">
    <w:name w:val="页脚 字符"/>
    <w:basedOn w:val="11"/>
    <w:link w:val="6"/>
    <w:qFormat/>
    <w:uiPriority w:val="99"/>
    <w:rPr>
      <w:rFonts w:eastAsia="仿宋_GB2312"/>
      <w:sz w:val="18"/>
      <w:szCs w:val="18"/>
    </w:rPr>
  </w:style>
  <w:style w:type="paragraph" w:styleId="18">
    <w:name w:val="List Paragraph"/>
    <w:basedOn w:val="1"/>
    <w:qFormat/>
    <w:uiPriority w:val="99"/>
    <w:pPr>
      <w:spacing w:line="240" w:lineRule="auto"/>
      <w:ind w:firstLine="420"/>
    </w:pPr>
    <w:rPr>
      <w:rFonts w:eastAsiaTheme="minorEastAsia"/>
      <w:sz w:val="21"/>
    </w:rPr>
  </w:style>
  <w:style w:type="table" w:customStyle="1" w:styleId="19">
    <w:name w:val="网格型1"/>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1">
    <w:name w:val="font31"/>
    <w:basedOn w:val="11"/>
    <w:qFormat/>
    <w:uiPriority w:val="0"/>
    <w:rPr>
      <w:rFonts w:hint="eastAsia" w:ascii="仿宋" w:hAnsi="仿宋" w:eastAsia="仿宋" w:cs="仿宋"/>
      <w:color w:val="000000"/>
      <w:sz w:val="28"/>
      <w:szCs w:val="28"/>
      <w:u w:val="none"/>
    </w:rPr>
  </w:style>
  <w:style w:type="character" w:customStyle="1" w:styleId="22">
    <w:name w:val="font51"/>
    <w:basedOn w:val="11"/>
    <w:qFormat/>
    <w:uiPriority w:val="0"/>
    <w:rPr>
      <w:rFonts w:hint="eastAsia" w:ascii="仿宋" w:hAnsi="仿宋" w:eastAsia="仿宋" w:cs="仿宋"/>
      <w:b/>
      <w:bCs/>
      <w:color w:val="000000"/>
      <w:sz w:val="28"/>
      <w:szCs w:val="28"/>
      <w:u w:val="none"/>
    </w:rPr>
  </w:style>
  <w:style w:type="character" w:customStyle="1" w:styleId="23">
    <w:name w:val="font11"/>
    <w:basedOn w:val="11"/>
    <w:qFormat/>
    <w:uiPriority w:val="0"/>
    <w:rPr>
      <w:rFonts w:hint="default" w:ascii="Times New Roman" w:hAnsi="Times New Roman" w:cs="Times New Roman"/>
      <w:b/>
      <w:bCs/>
      <w:color w:val="000000"/>
      <w:sz w:val="28"/>
      <w:szCs w:val="28"/>
      <w:u w:val="none"/>
    </w:rPr>
  </w:style>
  <w:style w:type="character" w:customStyle="1" w:styleId="24">
    <w:name w:val="font2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260;&#33606;&#32780;&#34892;\Documents\&#33258;&#23450;&#20041;%20Office%20&#27169;&#26495;\&#26631;&#20934;&#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标准公文模板.dotx</Template>
  <Pages>6</Pages>
  <Words>2253</Words>
  <Characters>2525</Characters>
  <Lines>81</Lines>
  <Paragraphs>23</Paragraphs>
  <TotalTime>2</TotalTime>
  <ScaleCrop>false</ScaleCrop>
  <LinksUpToDate>false</LinksUpToDate>
  <CharactersWithSpaces>2619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2024-03-17T04:02:00Z</dcterms:created>
  <dc:creator>围荆而行</dc:creator>
  <cp:lastModifiedBy>白丽君</cp:lastModifiedBy>
  <dcterms:modified xsi:type="dcterms:W3CDTF">2025-03-04T04:42:48Z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AE6A955202DC44D294ADFEAA66F89957_13</vt:lpwstr>
  </property>
  <property fmtid="{D5CDD505-2E9C-101B-9397-08002B2CF9AE}" pid="4" name="KSOTemplateDocerSaveRecord">
    <vt:lpwstr>eyJoZGlkIjoiODBjYjFiYzY4YWI5YWM1YTMwM2Q0YjQwNTdkOWIyNTciLCJ1c2VySWQiOiI0MjE0Mzg5ODUifQ==</vt:lpwstr>
  </property>
</Properties>
</file>