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教育部涉外法治人才协同培养创新基地</w:t>
      </w:r>
    </w:p>
    <w:p>
      <w:pPr>
        <w:ind w:firstLine="1405" w:firstLineChars="500"/>
        <w:rPr>
          <w:rFonts w:hint="eastAsia" w:ascii="仿宋" w:hAnsi="仿宋" w:eastAsia="仿宋" w:cs="仿宋"/>
          <w:b/>
          <w:bCs/>
          <w:sz w:val="28"/>
          <w:szCs w:val="28"/>
          <w:lang w:val="en-US" w:eastAsia="zh-CN"/>
        </w:rPr>
      </w:pPr>
      <w:bookmarkStart w:id="0" w:name="_GoBack"/>
      <w:bookmarkEnd w:id="0"/>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根据2023年12月教育部办公厅、中央依法治国办秘书处发布的《关于公布涉外法治人才协同培养创新基地（培育）名单的通知》（教高厅函〔2</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CN"/>
        </w:rPr>
        <w:t>23〕2</w:t>
      </w:r>
      <w:r>
        <w:rPr>
          <w:rFonts w:hint="eastAsia" w:ascii="仿宋" w:hAnsi="仿宋" w:eastAsia="仿宋" w:cs="仿宋"/>
          <w:sz w:val="28"/>
          <w:szCs w:val="28"/>
          <w:lang w:val="en-US" w:eastAsia="zh-CN"/>
        </w:rPr>
        <w:t xml:space="preserve">7 </w:t>
      </w:r>
      <w:r>
        <w:rPr>
          <w:rFonts w:hint="eastAsia" w:ascii="仿宋" w:hAnsi="仿宋" w:eastAsia="仿宋" w:cs="仿宋"/>
          <w:sz w:val="28"/>
          <w:szCs w:val="28"/>
          <w:lang w:val="en-US" w:eastAsia="zh-CN"/>
        </w:rPr>
        <w:t>号），浙江工商大学成功入选国家首批涉外法治人才协同培养创新基地（培育）名单。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长期以来，浙江工商大学法学院坚持以习近平法治思想为指导，坚持立德树人、德法兼修，在涉外法治人才培养方面取得了卓有成效的业绩。浙江工商大学法学院本科生培养方案专门设置涉外法务方向已逾十年，开设了十余门全英文涉外课程，建设有教育部来华留学英语授课品牌课程、省级国际化线上线下混合式一流课程、省级国际化线下一流课程等各类省级及以上课程近10门。常态化邀请国际知名学者为学生短期授课或开展专题讲座，拓宽学生视野。近五年来，涉外法务方向学生中多位毕业后赴美国、英国等地的国际知名高校继续深造，毕业的留学生中多人在国际组织工作。浙江工商大学法学院已与浙江省高级人民法院、浙江省人民检察院、省商务厅、省司法厅等多家实务部门开展涉外法治人才培养合作，如聘请校外实务导师讲授涉外课程，选派优秀学生参与涉外实习实践等。浙江工商大学法学院还与国外高校联合设立尼泊尔中心、“中国-埃塞俄比亚/非洲法律研究中心和培训基地”等涉外平台，主办或承办包括“中非投资法律高峰论坛”“国际司法体制研讨会”等在内的国际学术研讨会，参与中国法学会举办的非洲法律官员培训项目，并从英国等国引进全职外籍教师数人参与涉外人才培养。为了锻炼学生实务能力，选派了多名学生参加“暑期美国法院实习项目”，发起并选派学生参与中日韩法律英语演讲比赛，获得多项一等奖。近五年来学生参加国际人道法全英文模拟法庭竞赛、国际刑事法院全英文模拟法庭竞赛、杰赛普国际法模拟法庭比赛等比赛，多次获得一等奖及最佳书状等奖励。</w:t>
      </w:r>
    </w:p>
    <w:p>
      <w:pPr>
        <w:ind w:firstLine="420" w:firstLineChars="20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YTc1MWNlNjhjZDYxNWNjYTAwMjVjMjA1YzFkZGEifQ=="/>
  </w:docVars>
  <w:rsids>
    <w:rsidRoot w:val="00000000"/>
    <w:rsid w:val="68A8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2026-05-25T03:14:24Z</dcterms:created>
  <dc:creator>work</dc:creator>
  <cp:lastModifiedBy>summer</cp:lastModifiedBy>
  <dcterms:modified xsi:type="dcterms:W3CDTF">2026-05-25T03:14:52Z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87B26DF95CD944058A12C9B4026F4601_12</vt:lpwstr>
  </property>
</Properties>
</file>